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A05ED">
      <w:pPr>
        <w:jc w:val="center"/>
        <w:rPr>
          <w:rFonts w:hint="default" w:eastAsia="宋体"/>
          <w:b/>
          <w:bCs/>
          <w:sz w:val="28"/>
          <w:szCs w:val="36"/>
          <w:lang w:val="en-US" w:eastAsia="zh-CN"/>
        </w:rPr>
      </w:pPr>
      <w:r>
        <w:rPr>
          <w:rFonts w:hint="eastAsia"/>
          <w:b/>
          <w:bCs/>
          <w:sz w:val="28"/>
          <w:szCs w:val="36"/>
          <w:lang w:val="en-US" w:eastAsia="zh-CN"/>
        </w:rPr>
        <w:t>江西财经大学计算机科学与技术</w:t>
      </w:r>
      <w:r>
        <w:rPr>
          <w:rFonts w:hint="eastAsia"/>
          <w:b/>
          <w:bCs/>
          <w:sz w:val="28"/>
          <w:szCs w:val="36"/>
        </w:rPr>
        <w:t>专业同等学力</w:t>
      </w:r>
      <w:r>
        <w:rPr>
          <w:rFonts w:hint="eastAsia"/>
          <w:b/>
          <w:bCs/>
          <w:sz w:val="28"/>
          <w:szCs w:val="36"/>
          <w:lang w:val="en-US" w:eastAsia="zh-CN"/>
        </w:rPr>
        <w:t>招生简章</w:t>
      </w:r>
    </w:p>
    <w:p w14:paraId="114A2CA1">
      <w:pPr>
        <w:rPr>
          <w:rFonts w:hint="eastAsia"/>
          <w:lang w:val="en-US" w:eastAsia="zh-CN"/>
        </w:rPr>
      </w:pPr>
    </w:p>
    <w:p w14:paraId="11F6785F">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一、院校简介</w:t>
      </w:r>
      <w:bookmarkStart w:id="0" w:name="_GoBack"/>
      <w:bookmarkEnd w:id="0"/>
    </w:p>
    <w:p w14:paraId="6B52E1A6">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江西财经大学是一所财政部、教育部、江西省人民政府共建，以经济、管理类学科为主，法、工、文、理、艺术等学科协调发展的高等财经学府。公开资料显示，学校位居中国CFO大学排行榜第5名，中国财经类大学排行榜第7名，国家一流本科专业精度排行榜第15名，中国造富大学排行榜第16名，中国高管校友大学排行榜第30名，中国大学校友捐赠排行榜第47名，中国高校毕业生薪酬指数排行榜第71名。</w:t>
      </w:r>
    </w:p>
    <w:p w14:paraId="06E136E4">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rPr>
      </w:pPr>
      <w:r>
        <w:rPr>
          <w:rFonts w:hint="eastAsia" w:ascii="Times New Roman" w:hAnsi="Times New Roman" w:eastAsia="仿宋_GB2312"/>
          <w:bCs/>
          <w:sz w:val="24"/>
          <w:szCs w:val="24"/>
        </w:rPr>
        <w:t>计算机与人工智能学院成立于2024年7月，其发展历程可追溯到1998年建立的计算机科学与技术专业。学院依托学校财经背景，以服务国家科技自立自强和区域经济社会高质量发展等重大战略对高层次计算机人才和人工智能人才需求为导向，致力于创新计算机和人工智能与财经领域深度融合的关键技术，产出具有重要影响力的创新性科研成果。学院始终以立德树人为根本任务，着力培养具备高度社会责任感、强烈事业心和严谨求实科学态度与作风，掌握坚实宽广的专业知识和前沿技术，具备独立及协作开展科学研究和交叉应用能力的“厚基础、精技术、重实践、懂财经”的复合型高层次人才。学院秉持服务国家重大需求、服务地方经济建设、服务学科交叉融合、服务学校数字转型的使命，立足地方，放眼全球，矢志建设成为一所人才培养卓越、研究水平一流、社会服务突出、财经特色鲜明的计算机与人工智能标杆学院。</w:t>
      </w:r>
    </w:p>
    <w:p w14:paraId="642753BE">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lang w:val="en-US" w:eastAsia="zh-CN"/>
        </w:rPr>
      </w:pPr>
    </w:p>
    <w:p w14:paraId="6EB63CC0">
      <w:pPr>
        <w:numPr>
          <w:ilvl w:val="0"/>
          <w:numId w:val="0"/>
        </w:numPr>
        <w:spacing w:line="360" w:lineRule="exact"/>
        <w:rPr>
          <w:rFonts w:hint="eastAsia"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二、专业简述</w:t>
      </w:r>
    </w:p>
    <w:p w14:paraId="36A2206B">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r>
        <w:rPr>
          <w:rFonts w:hint="eastAsia" w:ascii="仿宋_GB2312" w:hAnsi="仿宋_GB2312" w:eastAsia="仿宋_GB2312" w:cs="仿宋_GB2312"/>
          <w:bCs/>
          <w:sz w:val="24"/>
          <w:szCs w:val="24"/>
        </w:rPr>
        <w:t>我校的计算机科学与技术一级学科博士点于2024年获批</w:t>
      </w:r>
      <w:r>
        <w:rPr>
          <w:rFonts w:hint="eastAsia" w:ascii="仿宋_GB2312" w:hAnsi="仿宋_GB2312" w:eastAsia="仿宋_GB2312" w:cs="仿宋_GB2312"/>
          <w:b/>
          <w:sz w:val="24"/>
          <w:szCs w:val="24"/>
        </w:rPr>
        <w:t>（江西省唯一）</w:t>
      </w:r>
      <w:r>
        <w:rPr>
          <w:rFonts w:hint="eastAsia" w:ascii="仿宋_GB2312" w:hAnsi="仿宋_GB2312" w:eastAsia="仿宋_GB2312" w:cs="仿宋_GB2312"/>
          <w:bCs/>
          <w:sz w:val="24"/>
          <w:szCs w:val="24"/>
        </w:rPr>
        <w:t>，学科下属硕士点是江西省重点学科、示范性硕士点。经过多年的建设，已形成一支结构合理、以中青年教师为主、具有较强教学和科研能力的师资队伍。</w:t>
      </w:r>
    </w:p>
    <w:p w14:paraId="64FC808A">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p>
    <w:p w14:paraId="1FBB2740">
      <w:pPr>
        <w:numPr>
          <w:ilvl w:val="0"/>
          <w:numId w:val="0"/>
        </w:numPr>
        <w:spacing w:line="360" w:lineRule="exact"/>
        <w:rPr>
          <w:rFonts w:hint="eastAsia"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三、研究方向</w:t>
      </w:r>
    </w:p>
    <w:p w14:paraId="66A3619F">
      <w:pPr>
        <w:pStyle w:val="7"/>
        <w:spacing w:line="360" w:lineRule="exact"/>
        <w:ind w:firstLine="482"/>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（一）大数据分析与处理</w:t>
      </w:r>
    </w:p>
    <w:p w14:paraId="24E507F9">
      <w:pPr>
        <w:pStyle w:val="7"/>
        <w:spacing w:line="360" w:lineRule="exact"/>
        <w:ind w:firstLine="480"/>
        <w:rPr>
          <w:rFonts w:hint="eastAsia" w:ascii="仿宋_GB2312" w:hAnsi="仿宋_GB2312" w:eastAsia="仿宋_GB2312" w:cs="仿宋_GB2312"/>
          <w:bCs/>
          <w:sz w:val="24"/>
          <w:szCs w:val="24"/>
        </w:rPr>
      </w:pPr>
      <w:r>
        <w:rPr>
          <w:rFonts w:ascii="仿宋_GB2312" w:hAnsi="仿宋_GB2312" w:eastAsia="仿宋_GB2312" w:cs="仿宋_GB2312"/>
          <w:bCs/>
          <w:sz w:val="24"/>
          <w:szCs w:val="24"/>
        </w:rPr>
        <w:t>云计算、物联网、社交网络等新兴服务促使人类社会的数据种类和规模正以前所未有的速度增长，大数据时代正式到来</w:t>
      </w: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数据从简单的处理对象开始转变为一种基础性资源</w:t>
      </w:r>
      <w:r>
        <w:rPr>
          <w:rFonts w:hint="eastAsia" w:ascii="仿宋_GB2312" w:hAnsi="仿宋_GB2312" w:eastAsia="仿宋_GB2312" w:cs="仿宋_GB2312"/>
          <w:bCs/>
          <w:sz w:val="24"/>
          <w:szCs w:val="24"/>
        </w:rPr>
        <w:t>和生产要素</w:t>
      </w:r>
      <w:r>
        <w:rPr>
          <w:rFonts w:ascii="仿宋_GB2312" w:hAnsi="仿宋_GB2312" w:eastAsia="仿宋_GB2312" w:cs="仿宋_GB2312"/>
          <w:bCs/>
          <w:sz w:val="24"/>
          <w:szCs w:val="24"/>
        </w:rPr>
        <w:t>，如何更好地管理和利用大数据已经成为普遍关注的话题</w:t>
      </w:r>
      <w:r>
        <w:rPr>
          <w:rFonts w:hint="eastAsia" w:ascii="仿宋_GB2312" w:hAnsi="仿宋_GB2312" w:eastAsia="仿宋_GB2312" w:cs="仿宋_GB2312"/>
          <w:bCs/>
          <w:sz w:val="24"/>
          <w:szCs w:val="24"/>
        </w:rPr>
        <w:t>，并成为研究的热点。</w:t>
      </w:r>
      <w:r>
        <w:rPr>
          <w:rFonts w:ascii="仿宋_GB2312" w:hAnsi="仿宋_GB2312" w:eastAsia="仿宋_GB2312" w:cs="仿宋_GB2312"/>
          <w:bCs/>
          <w:sz w:val="24"/>
          <w:szCs w:val="24"/>
        </w:rPr>
        <w:t>主要的研究内容：</w:t>
      </w:r>
      <w:r>
        <w:rPr>
          <w:rFonts w:hint="eastAsia" w:ascii="仿宋_GB2312" w:hAnsi="仿宋_GB2312" w:eastAsia="仿宋_GB2312" w:cs="仿宋_GB2312"/>
          <w:bCs/>
          <w:sz w:val="24"/>
          <w:szCs w:val="24"/>
        </w:rPr>
        <w:t>文本大数据挖掘、Web大数据挖掘、社会网络分析、信息抽取</w:t>
      </w:r>
      <w:r>
        <w:rPr>
          <w:rFonts w:ascii="仿宋_GB2312" w:hAnsi="仿宋_GB2312" w:eastAsia="仿宋_GB2312" w:cs="仿宋_GB2312"/>
          <w:bCs/>
          <w:sz w:val="24"/>
          <w:szCs w:val="24"/>
        </w:rPr>
        <w:t>（实体关系</w:t>
      </w:r>
      <w:r>
        <w:rPr>
          <w:rFonts w:hint="eastAsia" w:ascii="仿宋_GB2312" w:hAnsi="仿宋_GB2312" w:eastAsia="仿宋_GB2312" w:cs="仿宋_GB2312"/>
          <w:bCs/>
          <w:sz w:val="24"/>
          <w:szCs w:val="24"/>
        </w:rPr>
        <w:t>抽取、</w:t>
      </w:r>
      <w:r>
        <w:rPr>
          <w:rFonts w:ascii="仿宋_GB2312" w:hAnsi="仿宋_GB2312" w:eastAsia="仿宋_GB2312" w:cs="仿宋_GB2312"/>
          <w:bCs/>
          <w:sz w:val="24"/>
          <w:szCs w:val="24"/>
        </w:rPr>
        <w:t>事件抽取、</w:t>
      </w:r>
      <w:r>
        <w:rPr>
          <w:rFonts w:hint="eastAsia" w:ascii="仿宋_GB2312" w:hAnsi="仿宋_GB2312" w:eastAsia="仿宋_GB2312" w:cs="仿宋_GB2312"/>
          <w:bCs/>
          <w:sz w:val="24"/>
          <w:szCs w:val="24"/>
        </w:rPr>
        <w:t>实体链接</w:t>
      </w:r>
      <w:r>
        <w:rPr>
          <w:rFonts w:ascii="仿宋_GB2312" w:hAnsi="仿宋_GB2312" w:eastAsia="仿宋_GB2312" w:cs="仿宋_GB2312"/>
          <w:bCs/>
          <w:sz w:val="24"/>
          <w:szCs w:val="24"/>
        </w:rPr>
        <w:t>等）</w:t>
      </w:r>
      <w:r>
        <w:rPr>
          <w:rFonts w:hint="eastAsia" w:ascii="仿宋_GB2312" w:hAnsi="仿宋_GB2312" w:eastAsia="仿宋_GB2312" w:cs="仿宋_GB2312"/>
          <w:bCs/>
          <w:sz w:val="24"/>
          <w:szCs w:val="24"/>
        </w:rPr>
        <w:t>、知识图谱构建与应用，以及</w:t>
      </w:r>
      <w:r>
        <w:rPr>
          <w:rFonts w:ascii="仿宋_GB2312" w:hAnsi="仿宋_GB2312" w:eastAsia="仿宋_GB2312" w:cs="仿宋_GB2312"/>
          <w:bCs/>
          <w:sz w:val="24"/>
          <w:szCs w:val="24"/>
        </w:rPr>
        <w:t>大数据管理平台与技术（组织、索引、处理与检索）等。</w:t>
      </w:r>
    </w:p>
    <w:p w14:paraId="016FB4ED">
      <w:pPr>
        <w:pStyle w:val="7"/>
        <w:spacing w:line="360" w:lineRule="exact"/>
        <w:ind w:firstLine="482"/>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（二）</w:t>
      </w:r>
      <w:r>
        <w:rPr>
          <w:rFonts w:ascii="仿宋_GB2312" w:hAnsi="仿宋_GB2312" w:eastAsia="仿宋_GB2312" w:cs="仿宋_GB2312"/>
          <w:b/>
          <w:sz w:val="24"/>
          <w:szCs w:val="24"/>
        </w:rPr>
        <w:t>多媒体</w:t>
      </w:r>
      <w:r>
        <w:rPr>
          <w:rFonts w:hint="eastAsia" w:ascii="仿宋_GB2312" w:hAnsi="仿宋_GB2312" w:eastAsia="仿宋_GB2312" w:cs="仿宋_GB2312"/>
          <w:b/>
          <w:sz w:val="24"/>
          <w:szCs w:val="24"/>
        </w:rPr>
        <w:t>技术</w:t>
      </w:r>
    </w:p>
    <w:p w14:paraId="357C96EE">
      <w:pPr>
        <w:pStyle w:val="7"/>
        <w:spacing w:line="360" w:lineRule="exact"/>
        <w:ind w:firstLine="480"/>
        <w:rPr>
          <w:rFonts w:hint="eastAsia" w:ascii="仿宋_GB2312" w:hAnsi="仿宋_GB2312" w:eastAsia="仿宋_GB2312" w:cs="仿宋_GB2312"/>
          <w:bCs/>
          <w:sz w:val="24"/>
          <w:szCs w:val="24"/>
        </w:rPr>
      </w:pPr>
      <w:r>
        <w:rPr>
          <w:rFonts w:ascii="仿宋_GB2312" w:hAnsi="仿宋_GB2312" w:eastAsia="仿宋_GB2312" w:cs="仿宋_GB2312"/>
          <w:bCs/>
          <w:sz w:val="24"/>
          <w:szCs w:val="24"/>
        </w:rPr>
        <w:t>多媒体技术是指利用计算机对图形、图像、视频、声音等多类信息进行综合处理和管理，使用户可以通过多种感官与计算机进行交互的技术。近年来，随着人工智能系统在社会生活中的广泛应用，作为人工智能系统的重要组成部分，多媒体技术逐渐成为信息科学领域的重要研究热点，并被广泛运用于智能监控系统、无人机系统、机器人系统、无人驾驶系统、生物医疗系统等各类系统中。主要研究内容：多媒体信号处理、计算机视觉、模式识别、视觉大数据处理、医学图像处理等。</w:t>
      </w:r>
    </w:p>
    <w:p w14:paraId="07B6F019">
      <w:pPr>
        <w:pStyle w:val="7"/>
        <w:spacing w:line="360" w:lineRule="exact"/>
        <w:ind w:firstLine="482"/>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（三）</w:t>
      </w:r>
      <w:r>
        <w:rPr>
          <w:rFonts w:ascii="仿宋_GB2312" w:hAnsi="仿宋_GB2312" w:eastAsia="仿宋_GB2312" w:cs="仿宋_GB2312"/>
          <w:b/>
          <w:sz w:val="24"/>
          <w:szCs w:val="24"/>
        </w:rPr>
        <w:t>计算机网络与安全</w:t>
      </w:r>
    </w:p>
    <w:p w14:paraId="1025A08A">
      <w:pPr>
        <w:pStyle w:val="7"/>
        <w:spacing w:line="360" w:lineRule="exact"/>
        <w:ind w:firstLine="480"/>
        <w:rPr>
          <w:rFonts w:hint="eastAsia" w:ascii="仿宋_GB2312" w:hAnsi="仿宋_GB2312" w:eastAsia="仿宋_GB2312" w:cs="仿宋_GB2312"/>
          <w:bCs/>
          <w:sz w:val="24"/>
          <w:szCs w:val="24"/>
        </w:rPr>
      </w:pPr>
      <w:r>
        <w:rPr>
          <w:rFonts w:ascii="仿宋_GB2312" w:hAnsi="仿宋_GB2312" w:eastAsia="仿宋_GB2312" w:cs="仿宋_GB2312"/>
          <w:bCs/>
          <w:sz w:val="24"/>
          <w:szCs w:val="24"/>
        </w:rPr>
        <w:t>计算机网络为全球所有的信息系统传送多种形式的数据，进而为人类提供信息交互和资源共享服务。互联网、局域网、移动通信网等基础设施使人们可以随时随地接入高质量的网络；物联网、云计算、移动互联网等技术从兴起到大热再到全面实施，为科学研究、社会管理、企业运营及人们的日常工作学习和生活提供了极大的便利；大数据、人工智能等当下最热门的领域同样离不开计算机网络技术，特别是分布式存储和计算技术的支持。本方向的主要研究内容有：无线多媒体通信、无线网络与移动通信、网络服务质量；基于物联网的大数据分析与管理；物联网、移动互联网和Web系统开发；基于内容的网络访问控制、基于身份和风险自适应的访问机制；网络攻防、内容态势认知和安全调控、个性化网络信息内容安全管理；云安全存储、轻量可搜索加密、社交网络匿名保护和数据水印、角色挖掘等大数据安全技术。</w:t>
      </w:r>
    </w:p>
    <w:p w14:paraId="0E8C7D1E">
      <w:pPr>
        <w:pStyle w:val="7"/>
        <w:spacing w:line="360" w:lineRule="exact"/>
        <w:ind w:firstLine="482"/>
        <w:rPr>
          <w:rFonts w:hint="eastAsia" w:ascii="仿宋_GB2312" w:hAnsi="仿宋_GB2312" w:eastAsia="仿宋_GB2312" w:cs="仿宋_GB2312"/>
          <w:b/>
          <w:color w:val="EE0000"/>
          <w:sz w:val="24"/>
          <w:szCs w:val="24"/>
        </w:rPr>
      </w:pPr>
      <w:r>
        <w:rPr>
          <w:rFonts w:hint="eastAsia" w:ascii="仿宋_GB2312" w:hAnsi="仿宋_GB2312" w:eastAsia="仿宋_GB2312" w:cs="仿宋_GB2312"/>
          <w:b/>
          <w:sz w:val="24"/>
          <w:szCs w:val="24"/>
        </w:rPr>
        <w:t>（四）</w:t>
      </w:r>
      <w:r>
        <w:rPr>
          <w:rFonts w:ascii="仿宋_GB2312" w:hAnsi="仿宋_GB2312" w:eastAsia="仿宋_GB2312" w:cs="仿宋_GB2312"/>
          <w:b/>
          <w:sz w:val="24"/>
          <w:szCs w:val="24"/>
        </w:rPr>
        <w:t>计算机</w:t>
      </w:r>
      <w:r>
        <w:rPr>
          <w:rFonts w:hint="eastAsia" w:ascii="仿宋_GB2312" w:hAnsi="仿宋_GB2312" w:eastAsia="仿宋_GB2312" w:cs="仿宋_GB2312"/>
          <w:b/>
          <w:sz w:val="24"/>
          <w:szCs w:val="24"/>
        </w:rPr>
        <w:t>软件</w:t>
      </w:r>
    </w:p>
    <w:p w14:paraId="3EA8971B">
      <w:pPr>
        <w:pStyle w:val="7"/>
        <w:spacing w:line="360" w:lineRule="exact"/>
        <w:ind w:firstLine="48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计算机软件作为现代信息系统的核心驱动力，深度融入科学研究、产业发展与社会生活的各个层面。从操作系统对计算机硬件资源的高效调度，到数据库管理系统对海量数据的有序存储与快速检索；从应用软件为用户提供多样化的功能服务，到中间件实现不同系统间的无缝对接与协同运作，计算机软件技术的持续创新，推动着智能制造、智慧医疗、数字经济等新兴领域的蓬勃发展，成为驱动社会数字化转型的关键力量。</w:t>
      </w:r>
    </w:p>
    <w:p w14:paraId="51DB36BE">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r>
        <w:rPr>
          <w:rFonts w:hint="eastAsia" w:ascii="仿宋_GB2312" w:hAnsi="仿宋_GB2312" w:eastAsia="仿宋_GB2312" w:cs="仿宋_GB2312"/>
          <w:bCs/>
          <w:sz w:val="24"/>
          <w:szCs w:val="24"/>
        </w:rPr>
        <w:t>主要研究内容：软件体系结构与设计模式、高并发分布式系统开发、微服务架构与容器化技术；基于人工智能的自动化软件开发、智能代码分析与缺陷检测；面向复杂场景的移动应用开发、跨平台软件开发技术；软件安全漏洞挖掘与防护、软件供应链安全管理、可信软件构建；基于数据库的用户行为数据建模与深度分析、分布式数据库的查询优化与事务调度技术；数据库性能监控与调优、面向异构数据的清洗转换与集成技术、基于机器学习的数据库故障预测与自愈机制。</w:t>
      </w:r>
    </w:p>
    <w:p w14:paraId="4C616438">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p>
    <w:p w14:paraId="2810550C">
      <w:pPr>
        <w:numPr>
          <w:ilvl w:val="0"/>
          <w:numId w:val="0"/>
        </w:numPr>
        <w:spacing w:line="360" w:lineRule="exact"/>
        <w:rPr>
          <w:rFonts w:ascii="Times New Roman" w:hAnsi="Times New Roman" w:eastAsia="黑体"/>
          <w:bCs/>
          <w:sz w:val="24"/>
          <w:szCs w:val="24"/>
        </w:rPr>
      </w:pPr>
      <w:r>
        <w:rPr>
          <w:rFonts w:hint="eastAsia" w:ascii="Times New Roman" w:hAnsi="Times New Roman" w:eastAsia="黑体"/>
          <w:bCs/>
          <w:sz w:val="24"/>
          <w:szCs w:val="24"/>
          <w:lang w:val="en-US" w:eastAsia="zh-CN"/>
        </w:rPr>
        <w:t>四、</w:t>
      </w:r>
      <w:r>
        <w:rPr>
          <w:rFonts w:ascii="Times New Roman" w:hAnsi="Times New Roman" w:eastAsia="黑体"/>
          <w:bCs/>
          <w:sz w:val="24"/>
          <w:szCs w:val="24"/>
        </w:rPr>
        <w:t>培养目标和基本要求</w:t>
      </w:r>
    </w:p>
    <w:p w14:paraId="40AED40A">
      <w:pPr>
        <w:pStyle w:val="7"/>
        <w:spacing w:line="360" w:lineRule="exact"/>
        <w:ind w:firstLine="480"/>
        <w:rPr>
          <w:rFonts w:hint="eastAsia" w:ascii="仿宋_GB2312" w:hAnsi="仿宋_GB2312" w:eastAsia="仿宋_GB2312" w:cs="仿宋_GB2312"/>
          <w:bCs/>
          <w:sz w:val="24"/>
          <w:szCs w:val="24"/>
        </w:rPr>
      </w:pPr>
      <w:r>
        <w:rPr>
          <w:rFonts w:ascii="仿宋_GB2312" w:hAnsi="仿宋_GB2312" w:eastAsia="仿宋_GB2312" w:cs="仿宋_GB2312"/>
          <w:bCs/>
          <w:sz w:val="24"/>
          <w:szCs w:val="24"/>
        </w:rPr>
        <w:t>培养适应</w:t>
      </w:r>
      <w:r>
        <w:rPr>
          <w:rFonts w:hint="eastAsia" w:ascii="仿宋_GB2312" w:hAnsi="仿宋_GB2312" w:eastAsia="仿宋_GB2312" w:cs="仿宋_GB2312"/>
          <w:bCs/>
          <w:sz w:val="24"/>
          <w:szCs w:val="24"/>
        </w:rPr>
        <w:t>中国式现代化</w:t>
      </w:r>
      <w:r>
        <w:rPr>
          <w:rFonts w:ascii="仿宋_GB2312" w:hAnsi="仿宋_GB2312" w:eastAsia="仿宋_GB2312" w:cs="仿宋_GB2312"/>
          <w:bCs/>
          <w:sz w:val="24"/>
          <w:szCs w:val="24"/>
        </w:rPr>
        <w:t>建设需要的德智体美劳全面发展的具有“信、敏、廉、毅”素质的高层次人才。学位获得者应达到以下素质要求：</w:t>
      </w:r>
    </w:p>
    <w:p w14:paraId="0E096737">
      <w:pPr>
        <w:pStyle w:val="7"/>
        <w:spacing w:line="360" w:lineRule="exact"/>
        <w:ind w:firstLine="48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 xml:space="preserve">1. </w:t>
      </w:r>
      <w:r>
        <w:rPr>
          <w:rFonts w:ascii="仿宋_GB2312" w:hAnsi="仿宋_GB2312" w:eastAsia="仿宋_GB2312" w:cs="仿宋_GB2312"/>
          <w:bCs/>
          <w:sz w:val="24"/>
          <w:szCs w:val="24"/>
        </w:rPr>
        <w:t>掌握马克思主义基本理论，树立科学的世界观</w:t>
      </w:r>
      <w:r>
        <w:rPr>
          <w:rFonts w:hint="eastAsia" w:ascii="仿宋_GB2312" w:hAnsi="仿宋_GB2312" w:eastAsia="仿宋_GB2312" w:cs="仿宋_GB2312"/>
          <w:bCs/>
          <w:sz w:val="24"/>
          <w:szCs w:val="24"/>
        </w:rPr>
        <w:t>、正确的价值观和积极的人生观</w:t>
      </w:r>
      <w:r>
        <w:rPr>
          <w:rFonts w:ascii="仿宋_GB2312" w:hAnsi="仿宋_GB2312" w:eastAsia="仿宋_GB2312" w:cs="仿宋_GB2312"/>
          <w:bCs/>
          <w:sz w:val="24"/>
          <w:szCs w:val="24"/>
        </w:rPr>
        <w:t>，坚持党的基本路线；遵纪守法，品行端正；热爱祖国，具有服务国家和人民的高度社会责任感；坚守学术诚信，具有良好的科研道德和创新精神；坚持科学严谨和求真务实的学习态度。</w:t>
      </w:r>
    </w:p>
    <w:p w14:paraId="19C96BD2">
      <w:pPr>
        <w:pStyle w:val="7"/>
        <w:spacing w:line="360" w:lineRule="exact"/>
        <w:ind w:firstLine="48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 掌握较坚实的计算机科学与技术学科的基础理论和系统的专业知识，</w:t>
      </w:r>
      <w:r>
        <w:rPr>
          <w:rFonts w:ascii="仿宋_GB2312" w:hAnsi="仿宋_GB2312" w:eastAsia="仿宋_GB2312" w:cs="仿宋_GB2312"/>
          <w:bCs/>
          <w:sz w:val="24"/>
          <w:szCs w:val="24"/>
        </w:rPr>
        <w:t>了解学科的发展现状、趋势及研究前沿，较熟练地掌握一门外国语，并具备良好的阅读、理解和撰写的能力和进行国际化交流的能力；具有严谨求实的科学态度和作风，能够运用计算机科学与技术学科的方法、技术与工具从事该领域的</w:t>
      </w:r>
      <w:r>
        <w:rPr>
          <w:rFonts w:hint="eastAsia" w:ascii="仿宋_GB2312" w:hAnsi="仿宋_GB2312" w:eastAsia="仿宋_GB2312" w:cs="仿宋_GB2312"/>
          <w:bCs/>
          <w:sz w:val="24"/>
          <w:szCs w:val="24"/>
        </w:rPr>
        <w:t>科学</w:t>
      </w:r>
      <w:r>
        <w:rPr>
          <w:rFonts w:ascii="仿宋_GB2312" w:hAnsi="仿宋_GB2312" w:eastAsia="仿宋_GB2312" w:cs="仿宋_GB2312"/>
          <w:bCs/>
          <w:sz w:val="24"/>
          <w:szCs w:val="24"/>
        </w:rPr>
        <w:t>研究、关键技术创新或系统的设计、开发与管理工作，具有从事本学科和相关学科领域的科学研究或独立担负专门技术工作的能力。</w:t>
      </w:r>
    </w:p>
    <w:p w14:paraId="02702AE4">
      <w:pPr>
        <w:pStyle w:val="7"/>
        <w:spacing w:line="360" w:lineRule="exact"/>
        <w:ind w:firstLine="480"/>
        <w:rPr>
          <w:rFonts w:hint="eastAsia" w:ascii="Times New Roman" w:hAnsi="Times New Roman" w:eastAsia="仿宋_GB2312"/>
          <w:bCs/>
          <w:sz w:val="24"/>
          <w:szCs w:val="24"/>
        </w:rPr>
      </w:pPr>
      <w:r>
        <w:rPr>
          <w:rFonts w:hint="eastAsia" w:ascii="仿宋_GB2312" w:hAnsi="仿宋_GB2312" w:eastAsia="仿宋_GB2312" w:cs="仿宋_GB2312"/>
          <w:bCs/>
          <w:sz w:val="24"/>
          <w:szCs w:val="24"/>
        </w:rPr>
        <w:t xml:space="preserve">3. </w:t>
      </w:r>
      <w:r>
        <w:rPr>
          <w:rFonts w:ascii="仿宋_GB2312" w:hAnsi="仿宋_GB2312" w:eastAsia="仿宋_GB2312" w:cs="仿宋_GB2312"/>
          <w:bCs/>
          <w:sz w:val="24"/>
          <w:szCs w:val="24"/>
        </w:rPr>
        <w:t>积极锻炼身体，拥有良好的心理素质。</w:t>
      </w:r>
    </w:p>
    <w:p w14:paraId="02B4FC07">
      <w:pPr>
        <w:pStyle w:val="7"/>
        <w:spacing w:line="360" w:lineRule="exact"/>
        <w:ind w:firstLine="480"/>
        <w:rPr>
          <w:rFonts w:hint="eastAsia" w:ascii="Times New Roman" w:hAnsi="Times New Roman" w:eastAsia="仿宋_GB2312"/>
          <w:bCs/>
          <w:sz w:val="24"/>
          <w:szCs w:val="24"/>
          <w:lang w:val="en-US" w:eastAsia="zh-CN"/>
        </w:rPr>
      </w:pPr>
    </w:p>
    <w:p w14:paraId="6626DB52">
      <w:pPr>
        <w:numPr>
          <w:ilvl w:val="0"/>
          <w:numId w:val="0"/>
        </w:numPr>
        <w:spacing w:line="360" w:lineRule="exact"/>
        <w:rPr>
          <w:rFonts w:ascii="Times New Roman" w:hAnsi="Times New Roman" w:eastAsia="黑体"/>
          <w:bCs/>
          <w:sz w:val="24"/>
          <w:szCs w:val="24"/>
        </w:rPr>
      </w:pPr>
      <w:r>
        <w:rPr>
          <w:rFonts w:hint="eastAsia" w:ascii="Times New Roman" w:hAnsi="Times New Roman" w:eastAsia="黑体"/>
          <w:bCs/>
          <w:sz w:val="24"/>
          <w:szCs w:val="24"/>
          <w:lang w:val="en-US" w:eastAsia="zh-CN"/>
        </w:rPr>
        <w:t>五、</w:t>
      </w:r>
      <w:r>
        <w:rPr>
          <w:rFonts w:ascii="Times New Roman" w:hAnsi="Times New Roman" w:eastAsia="黑体"/>
          <w:bCs/>
          <w:sz w:val="24"/>
          <w:szCs w:val="24"/>
        </w:rPr>
        <w:t>培养方式</w:t>
      </w:r>
    </w:p>
    <w:p w14:paraId="498E79A1">
      <w:pPr>
        <w:pStyle w:val="8"/>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同等学力人员申请硕士学位分为三个阶段: 第一阶段为课程学习培养阶段（简称第一阶段），第二阶段为取得全国统一考试阶段（简称第二阶段），第三阶段为撰写学位论文及答辩阶段（简称第三阶段）。</w:t>
      </w:r>
    </w:p>
    <w:p w14:paraId="0DA41444">
      <w:pPr>
        <w:pStyle w:val="8"/>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申请人自通过资格审查之日起，按学校教学进度安排，修完第一阶段的江西财经大学同等学力规定的全部课程，按要求参加课程考试，课程学习期一般为1年，采取周末网络远程/自学相结合的方式，完成学习并通过课程考试，成绩合格，颁发江西财经大学结业证书。</w:t>
      </w:r>
    </w:p>
    <w:p w14:paraId="122872B1">
      <w:pPr>
        <w:pStyle w:val="8"/>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获得学士学位满三年，可申请第二阶段的全国统考硕士学位外国语水平和学科综合水平考试。统考每年举行一次，3月初报名，5月下旬考试。四年内未全部通过课程和全国统一考试者，所修课程学分无效。</w:t>
      </w:r>
    </w:p>
    <w:p w14:paraId="17959322">
      <w:pPr>
        <w:pStyle w:val="8"/>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申请人完成本项目研修课程学习，并通过外国语水平全国统考和学科综合水平全国统考后，进入申请硕士学位阶段。第三阶段须在通过全部课程考试（含两门全国统考科目）后的一年内提交学位论文，论文答辩在申请人提交论文后的半年内进行。</w:t>
      </w:r>
    </w:p>
    <w:p w14:paraId="05CE2114">
      <w:pPr>
        <w:spacing w:line="360" w:lineRule="exact"/>
        <w:ind w:firstLine="480" w:firstLineChars="200"/>
        <w:rPr>
          <w:rFonts w:hint="eastAsia" w:ascii="Times New Roman" w:hAnsi="Times New Roman" w:eastAsia="黑体"/>
          <w:bCs/>
          <w:sz w:val="24"/>
          <w:szCs w:val="24"/>
          <w:lang w:val="en-US" w:eastAsia="zh-CN"/>
        </w:rPr>
      </w:pPr>
    </w:p>
    <w:p w14:paraId="3183F4F0">
      <w:pPr>
        <w:spacing w:line="360" w:lineRule="exact"/>
        <w:ind w:firstLine="480" w:firstLineChars="200"/>
        <w:rPr>
          <w:rFonts w:ascii="Times New Roman" w:hAnsi="Times New Roman" w:eastAsia="黑体"/>
          <w:bCs/>
          <w:sz w:val="24"/>
          <w:szCs w:val="24"/>
        </w:rPr>
      </w:pPr>
      <w:r>
        <w:rPr>
          <w:rFonts w:hint="eastAsia" w:ascii="Times New Roman" w:hAnsi="Times New Roman" w:eastAsia="黑体"/>
          <w:bCs/>
          <w:sz w:val="24"/>
          <w:szCs w:val="24"/>
          <w:lang w:val="en-US" w:eastAsia="zh-CN"/>
        </w:rPr>
        <w:t>六</w:t>
      </w:r>
      <w:r>
        <w:rPr>
          <w:rFonts w:ascii="Times New Roman" w:hAnsi="Times New Roman" w:eastAsia="黑体"/>
          <w:bCs/>
          <w:sz w:val="24"/>
          <w:szCs w:val="24"/>
        </w:rPr>
        <w:t>、标准学制和学习年限</w:t>
      </w:r>
    </w:p>
    <w:p w14:paraId="1139E0BF">
      <w:pPr>
        <w:pStyle w:val="7"/>
        <w:spacing w:line="360" w:lineRule="exact"/>
        <w:ind w:firstLine="480"/>
        <w:rPr>
          <w:rFonts w:hint="eastAsia" w:ascii="Times New Roman" w:hAnsi="Times New Roman" w:eastAsia="仿宋_GB2312"/>
          <w:bCs/>
          <w:sz w:val="24"/>
          <w:szCs w:val="24"/>
        </w:rPr>
      </w:pPr>
      <w:r>
        <w:rPr>
          <w:rFonts w:hint="eastAsia" w:ascii="仿宋" w:hAnsi="仿宋" w:eastAsia="仿宋"/>
          <w:sz w:val="24"/>
          <w:szCs w:val="24"/>
        </w:rPr>
        <w:t>本专业学位</w:t>
      </w:r>
      <w:r>
        <w:rPr>
          <w:rFonts w:hint="eastAsia" w:ascii="Times New Roman" w:hAnsi="Times New Roman" w:eastAsia="仿宋_GB2312"/>
          <w:bCs/>
          <w:sz w:val="24"/>
          <w:szCs w:val="24"/>
        </w:rPr>
        <w:t>研究生学制为</w:t>
      </w:r>
      <w:r>
        <w:rPr>
          <w:rFonts w:hint="eastAsia" w:ascii="Times New Roman" w:hAnsi="Times New Roman" w:eastAsia="仿宋_GB2312"/>
          <w:bCs/>
          <w:sz w:val="24"/>
          <w:szCs w:val="24"/>
          <w:highlight w:val="none"/>
          <w:lang w:val="en-US" w:eastAsia="zh-CN"/>
        </w:rPr>
        <w:t>2.5</w:t>
      </w:r>
      <w:r>
        <w:rPr>
          <w:rFonts w:hint="eastAsia" w:ascii="Times New Roman" w:hAnsi="Times New Roman" w:eastAsia="仿宋_GB2312"/>
          <w:bCs/>
          <w:sz w:val="24"/>
          <w:szCs w:val="24"/>
          <w:highlight w:val="none"/>
        </w:rPr>
        <w:t>年</w:t>
      </w:r>
      <w:r>
        <w:rPr>
          <w:rFonts w:hint="eastAsia" w:ascii="Times New Roman" w:hAnsi="Times New Roman" w:eastAsia="仿宋_GB2312"/>
          <w:bCs/>
          <w:sz w:val="24"/>
          <w:szCs w:val="24"/>
        </w:rPr>
        <w:t>，最长不超过5年。包括课程学习</w:t>
      </w:r>
      <w:r>
        <w:rPr>
          <w:rFonts w:hint="eastAsia" w:ascii="Times New Roman" w:hAnsi="Times New Roman" w:eastAsia="仿宋_GB2312"/>
          <w:bCs/>
          <w:sz w:val="24"/>
          <w:szCs w:val="24"/>
          <w:lang w:eastAsia="zh-CN"/>
        </w:rPr>
        <w:t>、</w:t>
      </w:r>
      <w:r>
        <w:rPr>
          <w:rFonts w:hint="eastAsia" w:ascii="Times New Roman" w:hAnsi="Times New Roman" w:eastAsia="仿宋_GB2312"/>
          <w:bCs/>
          <w:sz w:val="24"/>
          <w:szCs w:val="24"/>
          <w:lang w:val="en-US" w:eastAsia="zh-CN"/>
        </w:rPr>
        <w:t>申硕考试</w:t>
      </w:r>
      <w:r>
        <w:rPr>
          <w:rFonts w:hint="eastAsia" w:ascii="Times New Roman" w:hAnsi="Times New Roman" w:eastAsia="仿宋_GB2312"/>
          <w:bCs/>
          <w:sz w:val="24"/>
          <w:szCs w:val="24"/>
        </w:rPr>
        <w:t>和学位论文</w:t>
      </w:r>
      <w:r>
        <w:rPr>
          <w:rFonts w:hint="eastAsia" w:ascii="Times New Roman" w:hAnsi="Times New Roman" w:eastAsia="仿宋_GB2312"/>
          <w:bCs/>
          <w:sz w:val="24"/>
          <w:szCs w:val="24"/>
          <w:lang w:val="en-US" w:eastAsia="zh-CN"/>
        </w:rPr>
        <w:t>三</w:t>
      </w:r>
      <w:r>
        <w:rPr>
          <w:rFonts w:hint="eastAsia" w:ascii="Times New Roman" w:hAnsi="Times New Roman" w:eastAsia="仿宋_GB2312"/>
          <w:bCs/>
          <w:sz w:val="24"/>
          <w:szCs w:val="24"/>
        </w:rPr>
        <w:t>个培养环节，课程由公共课程</w:t>
      </w:r>
      <w:r>
        <w:rPr>
          <w:rFonts w:hint="eastAsia" w:ascii="Times New Roman" w:hAnsi="Times New Roman" w:eastAsia="仿宋_GB2312"/>
          <w:bCs/>
          <w:sz w:val="24"/>
          <w:szCs w:val="24"/>
          <w:lang w:val="en-US" w:eastAsia="zh-CN"/>
        </w:rPr>
        <w:t>和</w:t>
      </w:r>
      <w:r>
        <w:rPr>
          <w:rFonts w:hint="eastAsia" w:ascii="Times New Roman" w:hAnsi="Times New Roman" w:eastAsia="仿宋_GB2312"/>
          <w:bCs/>
          <w:sz w:val="24"/>
          <w:szCs w:val="24"/>
        </w:rPr>
        <w:t>专业课程组成。</w:t>
      </w:r>
    </w:p>
    <w:p w14:paraId="7F40F8AE">
      <w:pPr>
        <w:pStyle w:val="7"/>
        <w:spacing w:line="360" w:lineRule="exact"/>
        <w:ind w:firstLine="480"/>
        <w:rPr>
          <w:rFonts w:hint="eastAsia" w:ascii="Times New Roman" w:hAnsi="Times New Roman" w:eastAsia="仿宋_GB2312"/>
          <w:bCs/>
          <w:sz w:val="24"/>
          <w:szCs w:val="24"/>
        </w:rPr>
      </w:pPr>
    </w:p>
    <w:p w14:paraId="254F7A36">
      <w:pPr>
        <w:spacing w:line="360" w:lineRule="exact"/>
        <w:ind w:firstLine="480" w:firstLineChars="200"/>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七</w:t>
      </w:r>
      <w:r>
        <w:rPr>
          <w:rFonts w:ascii="Times New Roman" w:hAnsi="Times New Roman" w:eastAsia="黑体"/>
          <w:bCs/>
          <w:sz w:val="24"/>
          <w:szCs w:val="24"/>
        </w:rPr>
        <w:t>、学分要求</w:t>
      </w:r>
      <w:r>
        <w:rPr>
          <w:rFonts w:hint="eastAsia" w:ascii="Times New Roman" w:hAnsi="Times New Roman" w:eastAsia="黑体"/>
          <w:bCs/>
          <w:sz w:val="24"/>
          <w:szCs w:val="24"/>
          <w:lang w:val="en-US" w:eastAsia="zh-CN"/>
        </w:rPr>
        <w:t>与课程设置</w:t>
      </w:r>
    </w:p>
    <w:p w14:paraId="4B83AEC0">
      <w:pPr>
        <w:pStyle w:val="7"/>
        <w:spacing w:line="360" w:lineRule="exact"/>
        <w:ind w:firstLine="480"/>
        <w:rPr>
          <w:rFonts w:ascii="仿宋_GB2312" w:hAnsi="仿宋_GB2312" w:eastAsia="仿宋_GB2312" w:cs="仿宋_GB2312"/>
          <w:bCs/>
          <w:sz w:val="24"/>
          <w:szCs w:val="24"/>
        </w:rPr>
      </w:pPr>
      <w:r>
        <w:rPr>
          <w:rFonts w:ascii="仿宋_GB2312" w:hAnsi="仿宋_GB2312" w:eastAsia="仿宋_GB2312" w:cs="仿宋_GB2312"/>
          <w:bCs/>
          <w:sz w:val="24"/>
          <w:szCs w:val="24"/>
        </w:rPr>
        <w:t>硕士研究生在校学习期间应修满的课程总学分最低为3</w:t>
      </w:r>
      <w:r>
        <w:rPr>
          <w:rFonts w:hint="eastAsia" w:ascii="仿宋_GB2312" w:hAnsi="仿宋_GB2312" w:eastAsia="仿宋_GB2312" w:cs="仿宋_GB2312"/>
          <w:bCs/>
          <w:sz w:val="24"/>
          <w:szCs w:val="24"/>
        </w:rPr>
        <w:t>0</w:t>
      </w:r>
      <w:r>
        <w:rPr>
          <w:rFonts w:ascii="仿宋_GB2312" w:hAnsi="仿宋_GB2312" w:eastAsia="仿宋_GB2312" w:cs="仿宋_GB2312"/>
          <w:bCs/>
          <w:sz w:val="24"/>
          <w:szCs w:val="24"/>
        </w:rPr>
        <w:t>学分。其中，公共学位课</w:t>
      </w:r>
      <w:r>
        <w:rPr>
          <w:rFonts w:hint="eastAsia" w:ascii="仿宋_GB2312" w:hAnsi="仿宋_GB2312" w:eastAsia="仿宋_GB2312" w:cs="仿宋_GB2312"/>
          <w:bCs/>
          <w:sz w:val="24"/>
          <w:szCs w:val="24"/>
        </w:rPr>
        <w:t>7</w:t>
      </w:r>
      <w:r>
        <w:rPr>
          <w:rFonts w:ascii="仿宋_GB2312" w:hAnsi="仿宋_GB2312" w:eastAsia="仿宋_GB2312" w:cs="仿宋_GB2312"/>
          <w:bCs/>
          <w:sz w:val="24"/>
          <w:szCs w:val="24"/>
        </w:rPr>
        <w:t>学分，</w:t>
      </w:r>
      <w:r>
        <w:rPr>
          <w:rFonts w:hint="eastAsia" w:ascii="仿宋_GB2312" w:hAnsi="仿宋_GB2312" w:eastAsia="仿宋_GB2312" w:cs="仿宋_GB2312"/>
          <w:bCs/>
          <w:sz w:val="24"/>
          <w:szCs w:val="24"/>
        </w:rPr>
        <w:t>公共</w:t>
      </w:r>
      <w:r>
        <w:rPr>
          <w:rFonts w:ascii="仿宋_GB2312" w:hAnsi="仿宋_GB2312" w:eastAsia="仿宋_GB2312" w:cs="仿宋_GB2312"/>
          <w:bCs/>
          <w:sz w:val="24"/>
          <w:szCs w:val="24"/>
        </w:rPr>
        <w:t>必修课</w:t>
      </w:r>
      <w:r>
        <w:rPr>
          <w:rFonts w:hint="eastAsia" w:ascii="仿宋_GB2312" w:hAnsi="仿宋_GB2312" w:eastAsia="仿宋_GB2312" w:cs="仿宋_GB2312"/>
          <w:bCs/>
          <w:sz w:val="24"/>
          <w:szCs w:val="24"/>
        </w:rPr>
        <w:t>3</w:t>
      </w:r>
      <w:r>
        <w:rPr>
          <w:rFonts w:ascii="仿宋_GB2312" w:hAnsi="仿宋_GB2312" w:eastAsia="仿宋_GB2312" w:cs="仿宋_GB2312"/>
          <w:bCs/>
          <w:sz w:val="24"/>
          <w:szCs w:val="24"/>
        </w:rPr>
        <w:t>学分</w:t>
      </w: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专业学位课6学分，</w:t>
      </w:r>
      <w:r>
        <w:rPr>
          <w:rFonts w:hint="eastAsia" w:ascii="仿宋_GB2312" w:hAnsi="仿宋_GB2312" w:eastAsia="仿宋_GB2312" w:cs="仿宋_GB2312"/>
          <w:bCs/>
          <w:sz w:val="24"/>
          <w:szCs w:val="24"/>
        </w:rPr>
        <w:t>专业</w:t>
      </w:r>
      <w:r>
        <w:rPr>
          <w:rFonts w:ascii="仿宋_GB2312" w:hAnsi="仿宋_GB2312" w:eastAsia="仿宋_GB2312" w:cs="仿宋_GB2312"/>
          <w:bCs/>
          <w:sz w:val="24"/>
          <w:szCs w:val="24"/>
        </w:rPr>
        <w:t>必修课</w:t>
      </w:r>
      <w:r>
        <w:rPr>
          <w:rFonts w:hint="eastAsia" w:ascii="仿宋_GB2312" w:hAnsi="仿宋_GB2312" w:eastAsia="仿宋_GB2312" w:cs="仿宋_GB2312"/>
          <w:bCs/>
          <w:sz w:val="24"/>
          <w:szCs w:val="24"/>
        </w:rPr>
        <w:t>6</w:t>
      </w:r>
      <w:r>
        <w:rPr>
          <w:rFonts w:ascii="仿宋_GB2312" w:hAnsi="仿宋_GB2312" w:eastAsia="仿宋_GB2312" w:cs="仿宋_GB2312"/>
          <w:bCs/>
          <w:sz w:val="24"/>
          <w:szCs w:val="24"/>
        </w:rPr>
        <w:t>学分</w:t>
      </w: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公共选修课</w:t>
      </w:r>
      <w:r>
        <w:rPr>
          <w:rFonts w:hint="eastAsia" w:ascii="仿宋_GB2312" w:hAnsi="仿宋_GB2312" w:eastAsia="仿宋_GB2312" w:cs="仿宋_GB2312"/>
          <w:bCs/>
          <w:sz w:val="24"/>
          <w:szCs w:val="24"/>
        </w:rPr>
        <w:t>4</w:t>
      </w:r>
      <w:r>
        <w:rPr>
          <w:rFonts w:ascii="仿宋_GB2312" w:hAnsi="仿宋_GB2312" w:eastAsia="仿宋_GB2312" w:cs="仿宋_GB2312"/>
          <w:bCs/>
          <w:sz w:val="24"/>
          <w:szCs w:val="24"/>
        </w:rPr>
        <w:t>学分，专业选修课</w:t>
      </w:r>
      <w:r>
        <w:rPr>
          <w:rFonts w:hint="eastAsia" w:ascii="仿宋_GB2312" w:hAnsi="仿宋_GB2312" w:eastAsia="仿宋_GB2312" w:cs="仿宋_GB2312"/>
          <w:bCs/>
          <w:sz w:val="24"/>
          <w:szCs w:val="24"/>
        </w:rPr>
        <w:t>4</w:t>
      </w:r>
      <w:r>
        <w:rPr>
          <w:rFonts w:ascii="仿宋_GB2312" w:hAnsi="仿宋_GB2312" w:eastAsia="仿宋_GB2312" w:cs="仿宋_GB2312"/>
          <w:bCs/>
          <w:sz w:val="24"/>
          <w:szCs w:val="24"/>
        </w:rPr>
        <w:t>学分。学位课课程成绩75分及以上为合格，其他课程60分及以上为合格。</w:t>
      </w:r>
    </w:p>
    <w:tbl>
      <w:tblPr>
        <w:tblW w:w="7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800"/>
        <w:gridCol w:w="3551"/>
        <w:gridCol w:w="1689"/>
        <w:gridCol w:w="800"/>
        <w:gridCol w:w="800"/>
      </w:tblGrid>
      <w:tr w14:paraId="5D802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7640" w:type="dxa"/>
            <w:gridSpan w:val="5"/>
            <w:tcBorders>
              <w:top w:val="single" w:color="000000" w:sz="4" w:space="0"/>
              <w:left w:val="single" w:color="000000" w:sz="4" w:space="0"/>
              <w:bottom w:val="single" w:color="000000" w:sz="4" w:space="0"/>
              <w:right w:val="single" w:color="000000" w:sz="4" w:space="0"/>
            </w:tcBorders>
            <w:shd w:val="clear"/>
            <w:noWrap/>
            <w:vAlign w:val="center"/>
          </w:tcPr>
          <w:p w14:paraId="2E5DED61">
            <w:pPr>
              <w:keepNext w:val="0"/>
              <w:keepLines w:val="0"/>
              <w:widowControl/>
              <w:suppressLineNumbers w:val="0"/>
              <w:jc w:val="center"/>
              <w:textAlignment w:val="center"/>
              <w:rPr>
                <w:rFonts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bdr w:val="none" w:color="auto" w:sz="0" w:space="0"/>
                <w:lang w:val="en-US" w:eastAsia="zh-CN" w:bidi="ar"/>
              </w:rPr>
              <w:t>计算机科学与技术专业课程表</w:t>
            </w:r>
          </w:p>
        </w:tc>
      </w:tr>
      <w:tr w14:paraId="10DFC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3"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F7CB5D">
            <w:pPr>
              <w:keepNext w:val="0"/>
              <w:keepLines w:val="0"/>
              <w:widowControl/>
              <w:suppressLineNumbers w:val="0"/>
              <w:jc w:val="center"/>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AB267B">
            <w:pPr>
              <w:keepNext w:val="0"/>
              <w:keepLines w:val="0"/>
              <w:widowControl/>
              <w:suppressLineNumbers w:val="0"/>
              <w:jc w:val="center"/>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课程名称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C597B8">
            <w:pPr>
              <w:keepNext w:val="0"/>
              <w:keepLines w:val="0"/>
              <w:widowControl/>
              <w:suppressLineNumbers w:val="0"/>
              <w:jc w:val="center"/>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课程类别</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45FBE3">
            <w:pPr>
              <w:keepNext w:val="0"/>
              <w:keepLines w:val="0"/>
              <w:widowControl/>
              <w:suppressLineNumbers w:val="0"/>
              <w:jc w:val="center"/>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学时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17F644">
            <w:pPr>
              <w:keepNext w:val="0"/>
              <w:keepLines w:val="0"/>
              <w:widowControl/>
              <w:suppressLineNumbers w:val="0"/>
              <w:jc w:val="center"/>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学分</w:t>
            </w:r>
          </w:p>
        </w:tc>
      </w:tr>
      <w:tr w14:paraId="4A9E6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326772B">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38F0F91">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大数据管理技术</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4EF9729D">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专业必修课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480A95A2">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26B77B2">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2.0 </w:t>
            </w:r>
          </w:p>
        </w:tc>
      </w:tr>
      <w:tr w14:paraId="3F1BC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CAB3ACD">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565E4AC">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分布式系统</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4CE1369">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专业学位课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7C28DE5">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47FF8C2A">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3.0 </w:t>
            </w:r>
          </w:p>
        </w:tc>
      </w:tr>
      <w:tr w14:paraId="05DAE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16206D4">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E4992F7">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机器学习</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54FDD1A2">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专业必修课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11E11F4">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642E7E1">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2.0 </w:t>
            </w:r>
          </w:p>
        </w:tc>
      </w:tr>
      <w:tr w14:paraId="788B4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E2266A5">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6114341">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计算机算法设计与分析</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699BD7F">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公共必修课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158BEA8">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52C341E5">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2.0 </w:t>
            </w:r>
          </w:p>
        </w:tc>
      </w:tr>
      <w:tr w14:paraId="06447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7A3CB30">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43C00249">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面向对象方法学</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00124C8">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专业学位课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1276A6B">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0FF6144">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3.0 </w:t>
            </w:r>
          </w:p>
        </w:tc>
      </w:tr>
      <w:tr w14:paraId="731FD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4C01E4D6">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57FC882">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人工智能原理及应用</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0320F433">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公共选修课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01103A0">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0AA5E578">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3.0 </w:t>
            </w:r>
          </w:p>
        </w:tc>
      </w:tr>
      <w:tr w14:paraId="2CC10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50234B3">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463436F">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数据挖掘</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9E70E98">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专业必修课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D720D30">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53F24D89">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2.0 </w:t>
            </w:r>
          </w:p>
        </w:tc>
      </w:tr>
      <w:tr w14:paraId="22D4F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CE9B1DB">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D6210C9">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数字图像处理</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5BCC0A2F">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专业必修课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5002831">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4FD8E855">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3.0 </w:t>
            </w:r>
          </w:p>
        </w:tc>
      </w:tr>
      <w:tr w14:paraId="25FA7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74A7A7A">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8229E19">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高等工程数学</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FC2C8FE">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公共学位课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1AD16C3">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F83E9BB">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2.0 </w:t>
            </w:r>
          </w:p>
        </w:tc>
      </w:tr>
      <w:tr w14:paraId="2D5F7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DD78D1F">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CC9FC97">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高级数据库系统</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2A2B186">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专业学位课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D81C373">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F0500AD">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2.0 </w:t>
            </w:r>
          </w:p>
        </w:tc>
      </w:tr>
      <w:tr w14:paraId="29789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00683A04">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61C85F0">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中国特色社会主义理论与实践</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592CB7DA">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公共学位课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9F4FC11">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4326D100">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2.0 </w:t>
            </w:r>
          </w:p>
        </w:tc>
      </w:tr>
      <w:tr w14:paraId="52885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EAFC7A4">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89D4EAC">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公共外语</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0849AA67">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公共学位课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46F1EFAB">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5D95E0A0">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3.0 </w:t>
            </w:r>
          </w:p>
        </w:tc>
      </w:tr>
      <w:tr w14:paraId="402DE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0A9B6933">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40FDC20A">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计量经济学</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4C4FBCB">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公共选修课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56EC570C">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A3F38DA">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3.0 </w:t>
            </w:r>
          </w:p>
        </w:tc>
      </w:tr>
      <w:tr w14:paraId="16868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1"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454F4EC">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4EEB8BC">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中级西方经济学</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03CFAB7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公共选修课</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749D609">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EAF341C">
            <w:pPr>
              <w:keepNext w:val="0"/>
              <w:keepLines w:val="0"/>
              <w:widowControl/>
              <w:suppressLineNumbers w:val="0"/>
              <w:jc w:val="center"/>
              <w:textAlignment w:val="bottom"/>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bdr w:val="none" w:color="auto" w:sz="0" w:space="0"/>
                <w:lang w:val="en-US" w:eastAsia="zh-CN" w:bidi="ar"/>
              </w:rPr>
              <w:t xml:space="preserve">4.0 </w:t>
            </w:r>
          </w:p>
        </w:tc>
      </w:tr>
    </w:tbl>
    <w:p w14:paraId="2D366C5E">
      <w:pPr>
        <w:numPr>
          <w:ilvl w:val="0"/>
          <w:numId w:val="0"/>
        </w:numPr>
        <w:ind w:leftChars="0"/>
        <w:rPr>
          <w:rStyle w:val="6"/>
          <w:rFonts w:hint="default" w:ascii="宋体" w:hAnsi="宋体" w:eastAsia="宋体" w:cs="宋体"/>
          <w:i w:val="0"/>
          <w:iCs w:val="0"/>
          <w:caps w:val="0"/>
          <w:color w:val="333333"/>
          <w:spacing w:val="0"/>
          <w:sz w:val="16"/>
          <w:szCs w:val="16"/>
          <w:shd w:val="clear" w:color="auto" w:fill="FFFFFF"/>
          <w:lang w:val="en-US" w:eastAsia="zh-CN"/>
        </w:rPr>
      </w:pPr>
    </w:p>
    <w:p w14:paraId="70008461">
      <w:pPr>
        <w:pStyle w:val="3"/>
        <w:keepNext w:val="0"/>
        <w:keepLines w:val="0"/>
        <w:pageBreakBefore w:val="0"/>
        <w:widowControl/>
        <w:suppressLineNumbers w:val="0"/>
        <w:shd w:val="clear" w:color="auto" w:fill="FFFFFF"/>
        <w:kinsoku/>
        <w:wordWrap/>
        <w:overflowPunct/>
        <w:topLinePunct w:val="0"/>
        <w:autoSpaceDE/>
        <w:autoSpaceDN/>
        <w:bidi w:val="0"/>
        <w:adjustRightInd/>
        <w:snapToGrid/>
        <w:spacing w:before="100" w:beforeAutospacing="0" w:after="100" w:afterAutospacing="0"/>
        <w:ind w:left="0" w:firstLine="480" w:firstLineChars="200"/>
        <w:textAlignment w:val="auto"/>
        <w:rPr>
          <w:rFonts w:ascii="Times New Roman" w:hAnsi="Times New Roman" w:eastAsia="黑体" w:cs="宋体"/>
          <w:bCs/>
          <w:kern w:val="2"/>
          <w:sz w:val="24"/>
          <w:szCs w:val="24"/>
          <w:lang w:val="en-US" w:bidi="ar-SA"/>
        </w:rPr>
      </w:pPr>
      <w:r>
        <w:rPr>
          <w:rFonts w:hint="eastAsia" w:ascii="Times New Roman" w:hAnsi="Times New Roman" w:eastAsia="黑体" w:cs="宋体"/>
          <w:bCs/>
          <w:kern w:val="2"/>
          <w:sz w:val="24"/>
          <w:szCs w:val="24"/>
          <w:lang w:val="en-US" w:eastAsia="zh-CN" w:bidi="ar-SA"/>
        </w:rPr>
        <w:t>八、</w:t>
      </w:r>
      <w:r>
        <w:rPr>
          <w:rFonts w:hint="eastAsia" w:ascii="Times New Roman" w:hAnsi="Times New Roman" w:eastAsia="黑体" w:cs="宋体"/>
          <w:bCs/>
          <w:kern w:val="2"/>
          <w:sz w:val="24"/>
          <w:szCs w:val="24"/>
          <w:lang w:val="en-US" w:bidi="ar-SA"/>
        </w:rPr>
        <w:t>缴纳学费</w:t>
      </w:r>
    </w:p>
    <w:p w14:paraId="7B8E50F5">
      <w:pPr>
        <w:pStyle w:val="3"/>
        <w:keepNext w:val="0"/>
        <w:keepLines w:val="0"/>
        <w:widowControl/>
        <w:suppressLineNumbers w:val="0"/>
        <w:shd w:val="clear" w:color="auto" w:fill="FFFFFF"/>
        <w:spacing w:line="240" w:lineRule="atLeast"/>
        <w:ind w:left="0" w:firstLine="28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根据我校下发的《江西财经大学同等学力人员申请硕士学位收入管理办法》的通知（江财财务字【2022】4号）文件精神，从即日起，学费缴纳分两段制进行，即课程学习阶段和撰写学位论文及答辩阶段。课程学习阶段学费为</w:t>
      </w:r>
      <w:r>
        <w:rPr>
          <w:rFonts w:hint="default" w:ascii="仿宋_GB2312" w:hAnsi="仿宋_GB2312" w:eastAsia="仿宋_GB2312" w:cs="仿宋_GB2312"/>
          <w:bCs/>
          <w:kern w:val="2"/>
          <w:sz w:val="24"/>
          <w:szCs w:val="24"/>
          <w:lang w:val="en-US" w:eastAsia="zh-CN" w:bidi="ar-SA"/>
        </w:rPr>
        <w:t>15000</w:t>
      </w:r>
      <w:r>
        <w:rPr>
          <w:rFonts w:hint="eastAsia" w:ascii="仿宋_GB2312" w:hAnsi="仿宋_GB2312" w:eastAsia="仿宋_GB2312" w:cs="仿宋_GB2312"/>
          <w:bCs/>
          <w:kern w:val="2"/>
          <w:sz w:val="24"/>
          <w:szCs w:val="24"/>
          <w:lang w:val="en-US" w:eastAsia="zh-CN" w:bidi="ar-SA"/>
        </w:rPr>
        <w:t>元，教材、资料自理。撰写学位论文及答辩阶段学费为10000元，各项收费实际以学校相关规定为准。学生缴纳相关费用后，可获得学校财务处开具的电子缴费发票。</w:t>
      </w:r>
    </w:p>
    <w:p w14:paraId="06E215FC">
      <w:pPr>
        <w:pStyle w:val="3"/>
        <w:keepNext w:val="0"/>
        <w:keepLines w:val="0"/>
        <w:widowControl/>
        <w:suppressLineNumbers w:val="0"/>
        <w:shd w:val="clear" w:color="auto" w:fill="FFFFFF"/>
        <w:spacing w:before="100" w:beforeAutospacing="0" w:after="100" w:afterAutospacing="0"/>
        <w:ind w:left="0" w:firstLine="0"/>
        <w:jc w:val="left"/>
        <w:rPr>
          <w:rFonts w:hint="eastAsia" w:ascii="Times New Roman" w:hAnsi="Times New Roman" w:eastAsia="黑体" w:cs="宋体"/>
          <w:bCs/>
          <w:kern w:val="2"/>
          <w:sz w:val="24"/>
          <w:szCs w:val="24"/>
          <w:lang w:val="en-US" w:eastAsia="zh-CN" w:bidi="ar-SA"/>
        </w:rPr>
      </w:pPr>
      <w:r>
        <w:rPr>
          <w:rFonts w:hint="eastAsia" w:ascii="Times New Roman" w:hAnsi="Times New Roman" w:eastAsia="黑体" w:cs="宋体"/>
          <w:bCs/>
          <w:kern w:val="2"/>
          <w:sz w:val="24"/>
          <w:szCs w:val="24"/>
          <w:lang w:val="en-US" w:eastAsia="zh-CN" w:bidi="ar-SA"/>
        </w:rPr>
        <w:t>九、报名流程</w:t>
      </w:r>
    </w:p>
    <w:p w14:paraId="01EC9FA5">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报名时需提交以下材料：</w:t>
      </w:r>
    </w:p>
    <w:p w14:paraId="50C3BD73">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1．报名表</w:t>
      </w:r>
    </w:p>
    <w:p w14:paraId="11D7747D">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2．本人身份证正、反面电子稿；</w:t>
      </w:r>
    </w:p>
    <w:p w14:paraId="036DD31C">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3．本人学历毕业证书和学位证书电子稿；</w:t>
      </w:r>
    </w:p>
    <w:p w14:paraId="43B9E448">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4．本人近期免冠1寸蓝底彩照；</w:t>
      </w:r>
    </w:p>
    <w:p w14:paraId="3F077FCF">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5．告知书。</w:t>
      </w:r>
    </w:p>
    <w:p w14:paraId="489D76E4">
      <w:pPr>
        <w:bidi w:val="0"/>
        <w:rPr>
          <w:rFonts w:hint="default" w:ascii="仿宋" w:hAnsi="仿宋" w:eastAsia="仿宋" w:cs="仿宋"/>
          <w:sz w:val="24"/>
          <w:szCs w:val="32"/>
          <w:lang w:val="en-US" w:eastAsia="zh-CN"/>
        </w:rPr>
      </w:pPr>
    </w:p>
    <w:p w14:paraId="1C95E331">
      <w:pPr>
        <w:bidi w:val="0"/>
        <w:rPr>
          <w:rFonts w:hint="default" w:ascii="仿宋" w:hAnsi="仿宋" w:eastAsia="仿宋" w:cs="仿宋"/>
          <w:sz w:val="24"/>
          <w:szCs w:val="32"/>
          <w:lang w:val="en-US" w:eastAsia="zh-CN"/>
        </w:rPr>
      </w:pPr>
    </w:p>
    <w:p w14:paraId="2A387A48">
      <w:pPr>
        <w:bidi w:val="0"/>
        <w:rPr>
          <w:rFonts w:hint="default" w:ascii="仿宋" w:hAnsi="仿宋" w:eastAsia="仿宋" w:cs="仿宋"/>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92B1B"/>
    <w:rsid w:val="03C52F1A"/>
    <w:rsid w:val="0ED96FBA"/>
    <w:rsid w:val="10384CFC"/>
    <w:rsid w:val="12B02AA2"/>
    <w:rsid w:val="150F1EAB"/>
    <w:rsid w:val="18540D97"/>
    <w:rsid w:val="1B5C578B"/>
    <w:rsid w:val="1B5C620C"/>
    <w:rsid w:val="20B77960"/>
    <w:rsid w:val="2A8F2436"/>
    <w:rsid w:val="2C597D1A"/>
    <w:rsid w:val="30246F0B"/>
    <w:rsid w:val="312078D0"/>
    <w:rsid w:val="33657AB4"/>
    <w:rsid w:val="43B22B37"/>
    <w:rsid w:val="43C50361"/>
    <w:rsid w:val="460261E6"/>
    <w:rsid w:val="54BE49E9"/>
    <w:rsid w:val="609D5BF6"/>
    <w:rsid w:val="638017F1"/>
    <w:rsid w:val="65E92A01"/>
    <w:rsid w:val="69E574B5"/>
    <w:rsid w:val="70336BD2"/>
    <w:rsid w:val="74911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qFormat/>
    <w:uiPriority w:val="0"/>
    <w:pPr>
      <w:keepNext/>
      <w:keepLines/>
      <w:spacing w:before="260" w:beforeAutospacing="0" w:after="260" w:afterAutospacing="0" w:line="413" w:lineRule="auto"/>
      <w:outlineLvl w:val="2"/>
    </w:pPr>
    <w:rPr>
      <w:b/>
      <w:sz w:val="32"/>
    </w:rPr>
  </w:style>
  <w:style w:type="character" w:default="1" w:styleId="5">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rPr>
  </w:style>
  <w:style w:type="character" w:styleId="6">
    <w:name w:val="Strong"/>
    <w:basedOn w:val="5"/>
    <w:qFormat/>
    <w:uiPriority w:val="0"/>
    <w:rPr>
      <w:b/>
    </w:rPr>
  </w:style>
  <w:style w:type="paragraph" w:customStyle="1" w:styleId="7">
    <w:name w:val="_Style 1"/>
    <w:basedOn w:val="1"/>
    <w:qFormat/>
    <w:uiPriority w:val="34"/>
    <w:pPr>
      <w:ind w:firstLine="420" w:firstLineChars="200"/>
    </w:p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3152</Words>
  <Characters>3191</Characters>
  <Paragraphs>271</Paragraphs>
  <TotalTime>1</TotalTime>
  <ScaleCrop>false</ScaleCrop>
  <LinksUpToDate>false</LinksUpToDate>
  <CharactersWithSpaces>3195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2024-12-17T05:42:00Z</dcterms:created>
  <dc:creator>CP3</dc:creator>
  <cp:lastModifiedBy>人事尹老师</cp:lastModifiedBy>
  <dcterms:modified xsi:type="dcterms:W3CDTF">2025-11-04T02:29:33Z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C1BFDD39F055472F9D1C4F56DA920B0D_13</vt:lpwstr>
  </property>
  <property fmtid="{D5CDD505-2E9C-101B-9397-08002B2CF9AE}" pid="4" name="KSOTemplateDocerSaveRecord">
    <vt:lpwstr>eyJoZGlkIjoiYjM3NzQzZWVkNmFmNThmMDQyYWRhYjg2ZDJmNDhiYmEiLCJ1c2VySWQiOiIxMjk3NjkzNDEyIn0=</vt:lpwstr>
  </property>
</Properties>
</file>