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DA05ED">
      <w:pPr>
        <w:jc w:val="center"/>
        <w:rPr>
          <w:rFonts w:hint="default" w:eastAsia="宋体"/>
          <w:b/>
          <w:bCs/>
          <w:sz w:val="28"/>
          <w:szCs w:val="36"/>
          <w:lang w:val="en-US" w:eastAsia="zh-CN"/>
        </w:rPr>
      </w:pPr>
      <w:r>
        <w:rPr>
          <w:rFonts w:hint="eastAsia"/>
          <w:b/>
          <w:bCs/>
          <w:sz w:val="28"/>
          <w:szCs w:val="36"/>
          <w:lang w:val="en-US" w:eastAsia="zh-CN"/>
        </w:rPr>
        <w:t>江西财经大学</w:t>
      </w:r>
      <w:r>
        <w:rPr>
          <w:rFonts w:hint="eastAsia"/>
          <w:b/>
          <w:bCs/>
          <w:sz w:val="28"/>
          <w:szCs w:val="36"/>
        </w:rPr>
        <w:t>工程管理专业同等学力</w:t>
      </w:r>
      <w:r>
        <w:rPr>
          <w:rFonts w:hint="eastAsia"/>
          <w:b/>
          <w:bCs/>
          <w:sz w:val="28"/>
          <w:szCs w:val="36"/>
          <w:lang w:val="en-US" w:eastAsia="zh-CN"/>
        </w:rPr>
        <w:t>招生简章</w:t>
      </w:r>
    </w:p>
    <w:p w14:paraId="114A2CA1">
      <w:pPr>
        <w:rPr>
          <w:rFonts w:hint="eastAsia"/>
          <w:lang w:val="en-US" w:eastAsia="zh-CN"/>
        </w:rPr>
      </w:pPr>
    </w:p>
    <w:p w14:paraId="11F6785F">
      <w:pPr>
        <w:numPr>
          <w:ilvl w:val="0"/>
          <w:numId w:val="0"/>
        </w:numPr>
        <w:spacing w:line="360" w:lineRule="exact"/>
        <w:rPr>
          <w:rFonts w:hint="default" w:ascii="Times New Roman" w:hAnsi="Times New Roman" w:eastAsia="黑体"/>
          <w:bCs/>
          <w:sz w:val="24"/>
          <w:szCs w:val="24"/>
          <w:lang w:val="en-US" w:eastAsia="zh-CN"/>
        </w:rPr>
      </w:pPr>
      <w:r>
        <w:rPr>
          <w:rFonts w:hint="eastAsia" w:ascii="Times New Roman" w:hAnsi="Times New Roman" w:eastAsia="黑体"/>
          <w:bCs/>
          <w:sz w:val="24"/>
          <w:szCs w:val="24"/>
          <w:lang w:val="en-US" w:eastAsia="zh-CN"/>
        </w:rPr>
        <w:t>一、院校简介</w:t>
      </w:r>
    </w:p>
    <w:p w14:paraId="6B52E1A6">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480" w:firstLineChars="200"/>
        <w:textAlignment w:val="auto"/>
        <w:rPr>
          <w:rFonts w:hint="eastAsia" w:ascii="Times New Roman" w:hAnsi="Times New Roman" w:eastAsia="仿宋_GB2312"/>
          <w:bCs/>
          <w:sz w:val="24"/>
          <w:szCs w:val="24"/>
          <w:lang w:val="en-US" w:eastAsia="zh-CN"/>
        </w:rPr>
      </w:pPr>
      <w:r>
        <w:rPr>
          <w:rFonts w:hint="eastAsia" w:ascii="Times New Roman" w:hAnsi="Times New Roman" w:eastAsia="仿宋_GB2312"/>
          <w:bCs/>
          <w:sz w:val="24"/>
          <w:szCs w:val="24"/>
          <w:lang w:val="en-US" w:eastAsia="zh-CN"/>
        </w:rPr>
        <w:t>江西财经大学是一所财政部、教育部、江西省人民政府共建，以经济、管理类学科为主，法、工、文、理、艺术等学科协调发展的高等财经学府。公开资料显示，学校位居中国CFO大学排行榜第5名，中国财经类大学排行榜第7名，国家一流本科专业精度排行榜第15名，</w:t>
      </w:r>
      <w:bookmarkStart w:id="0" w:name="_GoBack"/>
      <w:bookmarkEnd w:id="0"/>
      <w:r>
        <w:rPr>
          <w:rFonts w:hint="eastAsia" w:ascii="Times New Roman" w:hAnsi="Times New Roman" w:eastAsia="仿宋_GB2312"/>
          <w:bCs/>
          <w:sz w:val="24"/>
          <w:szCs w:val="24"/>
          <w:lang w:val="en-US" w:eastAsia="zh-CN"/>
        </w:rPr>
        <w:t>中国造富大学排行榜第16名，中国高管校友大学排行榜第30名，中国大学校友捐赠排行榜第47名，中国高校毕业生薪酬指数排行榜第71名。</w:t>
      </w:r>
    </w:p>
    <w:p w14:paraId="294CD05F">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480" w:firstLineChars="200"/>
        <w:textAlignment w:val="auto"/>
        <w:rPr>
          <w:rFonts w:hint="eastAsia" w:ascii="Times New Roman" w:hAnsi="Times New Roman" w:eastAsia="仿宋_GB2312"/>
          <w:bCs/>
          <w:sz w:val="24"/>
          <w:szCs w:val="24"/>
        </w:rPr>
      </w:pPr>
      <w:r>
        <w:rPr>
          <w:rFonts w:hint="eastAsia" w:ascii="Times New Roman" w:hAnsi="Times New Roman" w:eastAsia="仿宋_GB2312"/>
          <w:bCs/>
          <w:sz w:val="24"/>
          <w:szCs w:val="24"/>
        </w:rPr>
        <w:t>江西财经大学信息管理与数学学院组建于1998年7月，其前身是1988年成立的经济信息管理系。学院名誉院长为中国著名经济学家，中国数量经济学、信息经济学创始人乌家培教授。现任院长陈思华，党委书记秦建兵。</w:t>
      </w:r>
    </w:p>
    <w:p w14:paraId="60431000">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480" w:firstLineChars="200"/>
        <w:textAlignment w:val="auto"/>
        <w:rPr>
          <w:rFonts w:hint="eastAsia" w:ascii="Times New Roman" w:hAnsi="Times New Roman" w:eastAsia="仿宋_GB2312"/>
          <w:bCs/>
          <w:sz w:val="24"/>
          <w:szCs w:val="24"/>
        </w:rPr>
      </w:pPr>
      <w:r>
        <w:rPr>
          <w:rFonts w:hint="eastAsia" w:ascii="Times New Roman" w:hAnsi="Times New Roman" w:eastAsia="仿宋_GB2312"/>
          <w:bCs/>
          <w:sz w:val="24"/>
          <w:szCs w:val="24"/>
        </w:rPr>
        <w:t>学院学科基础厚实，管理科学与工程学科为江西省一流学科，拥有博士后科研流动站、一级学科博士和硕士学位授权点，学院还拥有数学一级学科硕士学位授权点，物流管理工程、工程管理2个专业学位点。学院建立了管理科学与工程院士工作站、江西省电子商务工程技术研究中心、江西省电子商务企业服务工程实验室等多个省级科研平台和创新团队，打造了“管理决策与决策支持”、“信息系统系列课程”2个国家级教学团队，以及《运筹学》《信息系统分析与设计》等7门国家精品课程与国家精品资源共享课程，人才培养模式获第六届高等教育国家级教学成果二等奖。</w:t>
      </w:r>
    </w:p>
    <w:p w14:paraId="642753BE">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480" w:firstLineChars="200"/>
        <w:textAlignment w:val="auto"/>
        <w:rPr>
          <w:rFonts w:hint="eastAsia" w:ascii="Times New Roman" w:hAnsi="Times New Roman" w:eastAsia="仿宋_GB2312"/>
          <w:bCs/>
          <w:sz w:val="24"/>
          <w:szCs w:val="24"/>
          <w:lang w:val="en-US" w:eastAsia="zh-CN"/>
        </w:rPr>
      </w:pPr>
    </w:p>
    <w:p w14:paraId="6EB63CC0">
      <w:pPr>
        <w:numPr>
          <w:ilvl w:val="0"/>
          <w:numId w:val="0"/>
        </w:numPr>
        <w:spacing w:line="360" w:lineRule="exact"/>
        <w:rPr>
          <w:rFonts w:hint="eastAsia" w:ascii="Times New Roman" w:hAnsi="Times New Roman" w:eastAsia="黑体"/>
          <w:bCs/>
          <w:sz w:val="24"/>
          <w:szCs w:val="24"/>
          <w:lang w:val="en-US" w:eastAsia="zh-CN"/>
        </w:rPr>
      </w:pPr>
      <w:r>
        <w:rPr>
          <w:rFonts w:hint="eastAsia" w:ascii="Times New Roman" w:hAnsi="Times New Roman" w:eastAsia="黑体"/>
          <w:bCs/>
          <w:sz w:val="24"/>
          <w:szCs w:val="24"/>
          <w:lang w:val="en-US" w:eastAsia="zh-CN"/>
        </w:rPr>
        <w:t>二、专业简述</w:t>
      </w:r>
    </w:p>
    <w:p w14:paraId="36A2206B">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480" w:firstLineChars="200"/>
        <w:textAlignment w:val="auto"/>
        <w:rPr>
          <w:rFonts w:ascii="Times New Roman" w:hAnsi="Times New Roman" w:eastAsia="仿宋_GB2312"/>
          <w:bCs/>
          <w:sz w:val="24"/>
          <w:szCs w:val="24"/>
        </w:rPr>
      </w:pPr>
      <w:r>
        <w:rPr>
          <w:rFonts w:ascii="Times New Roman" w:hAnsi="Times New Roman" w:eastAsia="仿宋_GB2312"/>
          <w:bCs/>
          <w:sz w:val="24"/>
          <w:szCs w:val="24"/>
        </w:rPr>
        <w:t>工程管理主要包括：重要复杂的新产品、设备、装备在论证、开发、制造、退役过程中的管理；工程建设项目全寿命周期管理；技术创新与技术管理；产业、工程和科技的重大布局与发展战略的研究与管理等。简而言之，工程管理的精髓就是</w:t>
      </w:r>
      <w:r>
        <w:rPr>
          <w:rFonts w:hint="eastAsia" w:ascii="Times New Roman" w:hAnsi="Times New Roman" w:eastAsia="仿宋_GB2312"/>
          <w:bCs/>
          <w:sz w:val="24"/>
          <w:szCs w:val="24"/>
        </w:rPr>
        <w:t>“</w:t>
      </w:r>
      <w:r>
        <w:rPr>
          <w:rFonts w:ascii="Times New Roman" w:hAnsi="Times New Roman" w:eastAsia="仿宋_GB2312"/>
          <w:bCs/>
          <w:sz w:val="24"/>
          <w:szCs w:val="24"/>
        </w:rPr>
        <w:t>系统整合</w:t>
      </w:r>
      <w:r>
        <w:rPr>
          <w:rFonts w:hint="eastAsia" w:ascii="Times New Roman" w:hAnsi="Times New Roman" w:eastAsia="仿宋_GB2312"/>
          <w:bCs/>
          <w:sz w:val="24"/>
          <w:szCs w:val="24"/>
        </w:rPr>
        <w:t>”</w:t>
      </w:r>
      <w:r>
        <w:rPr>
          <w:rFonts w:ascii="Times New Roman" w:hAnsi="Times New Roman" w:eastAsia="仿宋_GB2312"/>
          <w:bCs/>
          <w:sz w:val="24"/>
          <w:szCs w:val="24"/>
        </w:rPr>
        <w:t>。</w:t>
      </w:r>
    </w:p>
    <w:p w14:paraId="64FC808A">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480" w:firstLineChars="200"/>
        <w:textAlignment w:val="auto"/>
        <w:rPr>
          <w:rFonts w:ascii="Times New Roman" w:hAnsi="Times New Roman" w:eastAsia="仿宋_GB2312"/>
          <w:bCs/>
          <w:sz w:val="24"/>
          <w:szCs w:val="24"/>
        </w:rPr>
      </w:pPr>
    </w:p>
    <w:p w14:paraId="1FBB2740">
      <w:pPr>
        <w:numPr>
          <w:ilvl w:val="0"/>
          <w:numId w:val="0"/>
        </w:numPr>
        <w:spacing w:line="360" w:lineRule="exact"/>
        <w:rPr>
          <w:rFonts w:hint="eastAsia" w:ascii="Times New Roman" w:hAnsi="Times New Roman" w:eastAsia="黑体"/>
          <w:bCs/>
          <w:sz w:val="24"/>
          <w:szCs w:val="24"/>
          <w:lang w:val="en-US" w:eastAsia="zh-CN"/>
        </w:rPr>
      </w:pPr>
      <w:r>
        <w:rPr>
          <w:rFonts w:hint="eastAsia" w:ascii="Times New Roman" w:hAnsi="Times New Roman" w:eastAsia="黑体"/>
          <w:bCs/>
          <w:sz w:val="24"/>
          <w:szCs w:val="24"/>
          <w:lang w:val="en-US" w:eastAsia="zh-CN"/>
        </w:rPr>
        <w:t>三、研究方向</w:t>
      </w:r>
    </w:p>
    <w:p w14:paraId="7FAABDAA">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480" w:firstLineChars="200"/>
        <w:textAlignment w:val="auto"/>
        <w:rPr>
          <w:rFonts w:ascii="Times New Roman" w:hAnsi="Times New Roman" w:eastAsia="仿宋_GB2312"/>
          <w:bCs/>
          <w:sz w:val="24"/>
          <w:szCs w:val="24"/>
        </w:rPr>
      </w:pPr>
      <w:r>
        <w:rPr>
          <w:rFonts w:hint="eastAsia" w:ascii="Times New Roman" w:hAnsi="Times New Roman" w:eastAsia="仿宋_GB2312"/>
          <w:bCs/>
          <w:sz w:val="24"/>
          <w:szCs w:val="24"/>
          <w:lang w:val="en-US" w:eastAsia="zh-CN"/>
        </w:rPr>
        <w:t>1、</w:t>
      </w:r>
      <w:r>
        <w:rPr>
          <w:rFonts w:hint="eastAsia" w:ascii="Times New Roman" w:hAnsi="Times New Roman" w:eastAsia="仿宋_GB2312"/>
          <w:bCs/>
          <w:sz w:val="24"/>
          <w:szCs w:val="24"/>
        </w:rPr>
        <w:t>可持续建设管理。主要研究内容包括：</w:t>
      </w:r>
      <w:r>
        <w:rPr>
          <w:rFonts w:ascii="Times New Roman" w:hAnsi="Times New Roman" w:eastAsia="仿宋_GB2312"/>
          <w:bCs/>
          <w:sz w:val="24"/>
          <w:szCs w:val="24"/>
        </w:rPr>
        <w:t>聚焦绿色建筑与可持续发展理念，</w:t>
      </w:r>
      <w:r>
        <w:rPr>
          <w:rFonts w:hint="eastAsia" w:ascii="Times New Roman" w:hAnsi="Times New Roman" w:eastAsia="仿宋_GB2312"/>
          <w:bCs/>
          <w:sz w:val="24"/>
          <w:szCs w:val="24"/>
        </w:rPr>
        <w:t>学习工程系统建模与仿真分析、</w:t>
      </w:r>
      <w:r>
        <w:rPr>
          <w:rFonts w:ascii="Times New Roman" w:hAnsi="Times New Roman" w:eastAsia="仿宋_GB2312"/>
          <w:bCs/>
          <w:sz w:val="24"/>
          <w:szCs w:val="24"/>
        </w:rPr>
        <w:t>节能减排技术、全生命周期管理、生态评价与可持续发展战略</w:t>
      </w:r>
      <w:r>
        <w:rPr>
          <w:rFonts w:hint="eastAsia" w:ascii="Times New Roman" w:hAnsi="Times New Roman" w:eastAsia="仿宋_GB2312"/>
          <w:bCs/>
          <w:sz w:val="24"/>
          <w:szCs w:val="24"/>
        </w:rPr>
        <w:t>等。</w:t>
      </w:r>
    </w:p>
    <w:p w14:paraId="2B68CC48">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480" w:firstLineChars="200"/>
        <w:textAlignment w:val="auto"/>
        <w:rPr>
          <w:rFonts w:ascii="Times New Roman" w:hAnsi="Times New Roman" w:eastAsia="仿宋_GB2312"/>
          <w:bCs/>
          <w:sz w:val="24"/>
          <w:szCs w:val="24"/>
        </w:rPr>
      </w:pPr>
      <w:r>
        <w:rPr>
          <w:rFonts w:hint="eastAsia" w:ascii="Times New Roman" w:hAnsi="Times New Roman" w:eastAsia="仿宋_GB2312"/>
          <w:bCs/>
          <w:sz w:val="24"/>
          <w:szCs w:val="24"/>
          <w:lang w:val="en-US" w:eastAsia="zh-CN"/>
        </w:rPr>
        <w:t>2、</w:t>
      </w:r>
      <w:r>
        <w:rPr>
          <w:rFonts w:hint="eastAsia" w:ascii="Times New Roman" w:hAnsi="Times New Roman" w:eastAsia="仿宋_GB2312"/>
          <w:bCs/>
          <w:sz w:val="24"/>
          <w:szCs w:val="24"/>
        </w:rPr>
        <w:t>现代项目融资与PPP。主要研究内容包括：结合</w:t>
      </w:r>
      <w:r>
        <w:rPr>
          <w:rFonts w:ascii="Times New Roman" w:hAnsi="Times New Roman" w:eastAsia="仿宋_GB2312"/>
          <w:bCs/>
          <w:sz w:val="24"/>
          <w:szCs w:val="24"/>
        </w:rPr>
        <w:t>基础设施和公共项目的投融资模式，学习PPP框架下的项目策划、财务分析和风险分担机制</w:t>
      </w:r>
      <w:r>
        <w:rPr>
          <w:rFonts w:hint="eastAsia" w:ascii="Times New Roman" w:hAnsi="Times New Roman" w:eastAsia="仿宋_GB2312"/>
          <w:bCs/>
          <w:sz w:val="24"/>
          <w:szCs w:val="24"/>
        </w:rPr>
        <w:t>，</w:t>
      </w:r>
      <w:r>
        <w:rPr>
          <w:rFonts w:ascii="Times New Roman" w:hAnsi="Times New Roman" w:eastAsia="仿宋_GB2312"/>
          <w:bCs/>
          <w:sz w:val="24"/>
          <w:szCs w:val="24"/>
        </w:rPr>
        <w:t>分析项目融资的经济效益与投资回报，为复杂融资环境提供解决方案。</w:t>
      </w:r>
    </w:p>
    <w:p w14:paraId="76D50AF9">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480" w:firstLineChars="200"/>
        <w:textAlignment w:val="auto"/>
        <w:rPr>
          <w:rFonts w:ascii="Times New Roman" w:hAnsi="Times New Roman" w:eastAsia="仿宋_GB2312"/>
          <w:bCs/>
          <w:sz w:val="24"/>
          <w:szCs w:val="24"/>
        </w:rPr>
      </w:pPr>
      <w:r>
        <w:rPr>
          <w:rFonts w:hint="eastAsia" w:ascii="Times New Roman" w:hAnsi="Times New Roman" w:eastAsia="仿宋_GB2312"/>
          <w:bCs/>
          <w:sz w:val="24"/>
          <w:szCs w:val="24"/>
          <w:lang w:val="en-US" w:eastAsia="zh-CN"/>
        </w:rPr>
        <w:t>3、</w:t>
      </w:r>
      <w:r>
        <w:rPr>
          <w:rFonts w:hint="eastAsia" w:ascii="Times New Roman" w:hAnsi="Times New Roman" w:eastAsia="仿宋_GB2312"/>
          <w:bCs/>
          <w:sz w:val="24"/>
          <w:szCs w:val="24"/>
        </w:rPr>
        <w:t>工程标准化管理。</w:t>
      </w:r>
      <w:r>
        <w:rPr>
          <w:rFonts w:ascii="Times New Roman" w:hAnsi="Times New Roman" w:eastAsia="仿宋_GB2312"/>
          <w:bCs/>
          <w:sz w:val="24"/>
          <w:szCs w:val="24"/>
        </w:rPr>
        <w:t>围绕工程标准化建设，学习项目策划、施工管理和质量控制中的流程优化与标准化技术应用。结合标准化对成本控制、预算编制和经济效益的影响，推动高效、经济的工程管理实践。</w:t>
      </w:r>
    </w:p>
    <w:p w14:paraId="33871C25">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480" w:firstLineChars="200"/>
        <w:textAlignment w:val="auto"/>
        <w:rPr>
          <w:rFonts w:ascii="Times New Roman" w:hAnsi="Times New Roman" w:eastAsia="仿宋_GB2312"/>
          <w:bCs/>
          <w:sz w:val="24"/>
          <w:szCs w:val="24"/>
        </w:rPr>
      </w:pPr>
      <w:r>
        <w:rPr>
          <w:rFonts w:hint="eastAsia" w:ascii="Times New Roman" w:hAnsi="Times New Roman" w:eastAsia="仿宋_GB2312"/>
          <w:bCs/>
          <w:sz w:val="24"/>
          <w:szCs w:val="24"/>
          <w:lang w:val="en-US" w:eastAsia="zh-CN"/>
        </w:rPr>
        <w:t>4、</w:t>
      </w:r>
      <w:r>
        <w:rPr>
          <w:rFonts w:hint="eastAsia" w:ascii="Times New Roman" w:hAnsi="Times New Roman" w:eastAsia="仿宋_GB2312"/>
          <w:bCs/>
          <w:sz w:val="24"/>
          <w:szCs w:val="24"/>
        </w:rPr>
        <w:t>智慧建造与智慧工地。</w:t>
      </w:r>
      <w:r>
        <w:rPr>
          <w:rFonts w:ascii="Times New Roman" w:hAnsi="Times New Roman" w:eastAsia="仿宋_GB2312"/>
          <w:bCs/>
          <w:sz w:val="24"/>
          <w:szCs w:val="24"/>
        </w:rPr>
        <w:t>以建筑信息模型（BIM）、物联网</w:t>
      </w:r>
      <w:r>
        <w:rPr>
          <w:rFonts w:hint="eastAsia" w:ascii="Times New Roman" w:hAnsi="Times New Roman" w:eastAsia="仿宋_GB2312"/>
          <w:bCs/>
          <w:sz w:val="24"/>
          <w:szCs w:val="24"/>
        </w:rPr>
        <w:t>（</w:t>
      </w:r>
      <w:r>
        <w:rPr>
          <w:rFonts w:ascii="Times New Roman" w:hAnsi="Times New Roman" w:eastAsia="仿宋_GB2312"/>
          <w:bCs/>
          <w:sz w:val="24"/>
          <w:szCs w:val="24"/>
        </w:rPr>
        <w:t>IoT</w:t>
      </w:r>
      <w:r>
        <w:rPr>
          <w:rFonts w:hint="eastAsia" w:ascii="Times New Roman" w:hAnsi="Times New Roman" w:eastAsia="仿宋_GB2312"/>
          <w:bCs/>
          <w:sz w:val="24"/>
          <w:szCs w:val="24"/>
        </w:rPr>
        <w:t>）</w:t>
      </w:r>
      <w:r>
        <w:rPr>
          <w:rFonts w:ascii="Times New Roman" w:hAnsi="Times New Roman" w:eastAsia="仿宋_GB2312"/>
          <w:bCs/>
          <w:sz w:val="24"/>
          <w:szCs w:val="24"/>
        </w:rPr>
        <w:t>、大数据</w:t>
      </w:r>
      <w:r>
        <w:rPr>
          <w:rFonts w:hint="eastAsia" w:ascii="Times New Roman" w:hAnsi="Times New Roman" w:eastAsia="仿宋_GB2312"/>
          <w:bCs/>
          <w:sz w:val="24"/>
          <w:szCs w:val="24"/>
        </w:rPr>
        <w:t>、虚拟现实（VR）、增强现实（AR）和数字孪生</w:t>
      </w:r>
      <w:r>
        <w:rPr>
          <w:rFonts w:ascii="Times New Roman" w:hAnsi="Times New Roman" w:eastAsia="仿宋_GB2312"/>
          <w:bCs/>
          <w:sz w:val="24"/>
          <w:szCs w:val="24"/>
        </w:rPr>
        <w:t>等技术为基础，学习智能化施工管理、智慧工地系统开发与运营。</w:t>
      </w:r>
      <w:r>
        <w:rPr>
          <w:rFonts w:hint="eastAsia" w:ascii="Times New Roman" w:hAnsi="Times New Roman" w:eastAsia="仿宋_GB2312"/>
          <w:bCs/>
          <w:sz w:val="24"/>
          <w:szCs w:val="24"/>
        </w:rPr>
        <w:t>探索</w:t>
      </w:r>
      <w:r>
        <w:rPr>
          <w:rFonts w:ascii="Times New Roman" w:hAnsi="Times New Roman" w:eastAsia="仿宋_GB2312"/>
          <w:bCs/>
          <w:sz w:val="24"/>
          <w:szCs w:val="24"/>
        </w:rPr>
        <w:t>智慧建造对工程成本管控和效益提升的作用，探索智能技术与经济决策的融合路径。</w:t>
      </w:r>
    </w:p>
    <w:p w14:paraId="4C616438">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480" w:firstLineChars="200"/>
        <w:textAlignment w:val="auto"/>
        <w:rPr>
          <w:rFonts w:ascii="Times New Roman" w:hAnsi="Times New Roman" w:eastAsia="仿宋_GB2312"/>
          <w:bCs/>
          <w:sz w:val="24"/>
          <w:szCs w:val="24"/>
        </w:rPr>
      </w:pPr>
    </w:p>
    <w:p w14:paraId="2810550C">
      <w:pPr>
        <w:numPr>
          <w:ilvl w:val="0"/>
          <w:numId w:val="0"/>
        </w:numPr>
        <w:spacing w:line="360" w:lineRule="exact"/>
        <w:rPr>
          <w:rFonts w:ascii="Times New Roman" w:hAnsi="Times New Roman" w:eastAsia="黑体"/>
          <w:bCs/>
          <w:sz w:val="24"/>
          <w:szCs w:val="24"/>
        </w:rPr>
      </w:pPr>
      <w:r>
        <w:rPr>
          <w:rFonts w:hint="eastAsia" w:ascii="Times New Roman" w:hAnsi="Times New Roman" w:eastAsia="黑体"/>
          <w:bCs/>
          <w:sz w:val="24"/>
          <w:szCs w:val="24"/>
          <w:lang w:val="en-US" w:eastAsia="zh-CN"/>
        </w:rPr>
        <w:t>四、</w:t>
      </w:r>
      <w:r>
        <w:rPr>
          <w:rFonts w:ascii="Times New Roman" w:hAnsi="Times New Roman" w:eastAsia="黑体"/>
          <w:bCs/>
          <w:sz w:val="24"/>
          <w:szCs w:val="24"/>
        </w:rPr>
        <w:t>培养目标和基本要求</w:t>
      </w:r>
    </w:p>
    <w:p w14:paraId="3F6B0552">
      <w:pPr>
        <w:pStyle w:val="7"/>
        <w:numPr>
          <w:ilvl w:val="0"/>
          <w:numId w:val="1"/>
        </w:numPr>
        <w:spacing w:line="360" w:lineRule="exact"/>
        <w:ind w:firstLine="480"/>
        <w:rPr>
          <w:rFonts w:ascii="Times New Roman" w:hAnsi="Times New Roman" w:eastAsia="仿宋_GB2312"/>
          <w:bCs/>
          <w:sz w:val="24"/>
          <w:szCs w:val="24"/>
        </w:rPr>
      </w:pPr>
      <w:r>
        <w:rPr>
          <w:rFonts w:ascii="Times New Roman" w:hAnsi="Times New Roman" w:eastAsia="仿宋_GB2312"/>
          <w:bCs/>
          <w:sz w:val="24"/>
          <w:szCs w:val="24"/>
        </w:rPr>
        <w:t>培养目标</w:t>
      </w:r>
    </w:p>
    <w:p w14:paraId="2256E79C">
      <w:pPr>
        <w:pStyle w:val="7"/>
        <w:spacing w:line="360" w:lineRule="exact"/>
        <w:ind w:firstLine="480"/>
        <w:rPr>
          <w:rFonts w:ascii="Times New Roman" w:hAnsi="Times New Roman" w:eastAsia="仿宋_GB2312"/>
          <w:bCs/>
          <w:sz w:val="24"/>
          <w:szCs w:val="24"/>
        </w:rPr>
      </w:pPr>
      <w:r>
        <w:rPr>
          <w:rFonts w:ascii="Times New Roman" w:hAnsi="Times New Roman" w:eastAsia="仿宋_GB2312"/>
          <w:bCs/>
          <w:sz w:val="24"/>
          <w:szCs w:val="24"/>
        </w:rPr>
        <w:t>秉承</w:t>
      </w:r>
      <w:r>
        <w:rPr>
          <w:rFonts w:hint="eastAsia" w:ascii="Times New Roman" w:hAnsi="Times New Roman" w:eastAsia="仿宋_GB2312"/>
          <w:bCs/>
          <w:sz w:val="24"/>
          <w:szCs w:val="24"/>
        </w:rPr>
        <w:t>“</w:t>
      </w:r>
      <w:r>
        <w:rPr>
          <w:rFonts w:ascii="Times New Roman" w:hAnsi="Times New Roman" w:eastAsia="仿宋_GB2312"/>
          <w:bCs/>
          <w:sz w:val="24"/>
          <w:szCs w:val="24"/>
        </w:rPr>
        <w:t>信敏廉毅</w:t>
      </w:r>
      <w:r>
        <w:rPr>
          <w:rFonts w:hint="eastAsia" w:ascii="Times New Roman" w:hAnsi="Times New Roman" w:eastAsia="仿宋_GB2312"/>
          <w:bCs/>
          <w:sz w:val="24"/>
          <w:szCs w:val="24"/>
        </w:rPr>
        <w:t>”</w:t>
      </w:r>
      <w:r>
        <w:rPr>
          <w:rFonts w:ascii="Times New Roman" w:hAnsi="Times New Roman" w:eastAsia="仿宋_GB2312"/>
          <w:bCs/>
          <w:sz w:val="24"/>
          <w:szCs w:val="24"/>
        </w:rPr>
        <w:t>校训，</w:t>
      </w:r>
      <w:r>
        <w:rPr>
          <w:rFonts w:hint="eastAsia" w:ascii="Times New Roman" w:hAnsi="Times New Roman" w:eastAsia="仿宋_GB2312"/>
          <w:bCs/>
          <w:sz w:val="24"/>
          <w:szCs w:val="24"/>
        </w:rPr>
        <w:t>培养具备良好的政治思想素质和职业道德素养，既具有扎实的工程技术基础、又具备现代管理素质与能力，能够有效推动我国工程领域技术创新与技术发展，有效计划、组织、协调和控制工程实践及技术开发等活动的产业骨干、跨界的工程领域管理专家和高层次的工程管理应用型人才。</w:t>
      </w:r>
    </w:p>
    <w:p w14:paraId="1CA011EE">
      <w:pPr>
        <w:pStyle w:val="7"/>
        <w:numPr>
          <w:ilvl w:val="0"/>
          <w:numId w:val="1"/>
        </w:numPr>
        <w:spacing w:line="360" w:lineRule="exact"/>
        <w:ind w:firstLine="480"/>
        <w:rPr>
          <w:rFonts w:ascii="Times New Roman" w:hAnsi="Times New Roman" w:eastAsia="仿宋_GB2312"/>
          <w:bCs/>
          <w:sz w:val="24"/>
          <w:szCs w:val="24"/>
        </w:rPr>
      </w:pPr>
      <w:r>
        <w:rPr>
          <w:rFonts w:ascii="Times New Roman" w:hAnsi="Times New Roman" w:eastAsia="仿宋_GB2312"/>
          <w:bCs/>
          <w:sz w:val="24"/>
          <w:szCs w:val="24"/>
        </w:rPr>
        <w:t>基本要求</w:t>
      </w:r>
    </w:p>
    <w:p w14:paraId="47C4B763">
      <w:pPr>
        <w:pStyle w:val="7"/>
        <w:spacing w:line="360" w:lineRule="exact"/>
        <w:ind w:firstLine="480"/>
        <w:rPr>
          <w:rFonts w:ascii="Times New Roman" w:hAnsi="Times New Roman" w:eastAsia="仿宋_GB2312"/>
          <w:bCs/>
          <w:sz w:val="24"/>
          <w:szCs w:val="24"/>
        </w:rPr>
      </w:pPr>
      <w:r>
        <w:rPr>
          <w:rFonts w:hint="eastAsia" w:ascii="Times New Roman" w:hAnsi="Times New Roman" w:eastAsia="仿宋_GB2312"/>
          <w:bCs/>
          <w:sz w:val="24"/>
          <w:szCs w:val="24"/>
        </w:rPr>
        <w:t>（1）掌握马克思主义基本理论，树立科学的世界观，坚持党的基本路线，践行社会主义核心价值观；遵纪守法，品行端正；热爱祖国，具有服务国家和人民的高度社会责任感； 坚守学术诚信，具有良好的科研道德和创新精神；坚持科学严谨和求真务实的学习态度。</w:t>
      </w:r>
    </w:p>
    <w:p w14:paraId="4414F2C3">
      <w:pPr>
        <w:pStyle w:val="7"/>
        <w:spacing w:line="360" w:lineRule="exact"/>
        <w:ind w:firstLine="480"/>
        <w:rPr>
          <w:rFonts w:ascii="Times New Roman" w:hAnsi="Times New Roman" w:eastAsia="仿宋_GB2312"/>
          <w:bCs/>
          <w:sz w:val="24"/>
          <w:szCs w:val="24"/>
        </w:rPr>
      </w:pPr>
      <w:r>
        <w:rPr>
          <w:rFonts w:hint="eastAsia" w:ascii="Times New Roman" w:hAnsi="Times New Roman" w:eastAsia="仿宋_GB2312"/>
          <w:bCs/>
          <w:sz w:val="24"/>
          <w:szCs w:val="24"/>
        </w:rPr>
        <w:t>（2）掌握坚实的工程管理专业基础理论和系统的专门知识；具有从事工程管理专业的科学研究工作的能力或独立承担专门技术工作的能力；能够比较熟练地运用一门外国语阅读本专业的外文资料；</w:t>
      </w:r>
      <w:r>
        <w:rPr>
          <w:rFonts w:ascii="Times New Roman" w:hAnsi="Times New Roman" w:eastAsia="仿宋_GB2312"/>
          <w:bCs/>
          <w:sz w:val="24"/>
          <w:szCs w:val="24"/>
        </w:rPr>
        <w:t>接受</w:t>
      </w:r>
      <w:r>
        <w:rPr>
          <w:rFonts w:hint="eastAsia" w:ascii="Times New Roman" w:hAnsi="Times New Roman" w:eastAsia="仿宋_GB2312"/>
          <w:bCs/>
          <w:sz w:val="24"/>
          <w:szCs w:val="24"/>
        </w:rPr>
        <w:t>系统的</w:t>
      </w:r>
      <w:r>
        <w:rPr>
          <w:rFonts w:ascii="Times New Roman" w:hAnsi="Times New Roman" w:eastAsia="仿宋_GB2312"/>
          <w:bCs/>
          <w:sz w:val="24"/>
          <w:szCs w:val="24"/>
        </w:rPr>
        <w:t>实践训练</w:t>
      </w:r>
      <w:r>
        <w:rPr>
          <w:rFonts w:hint="eastAsia" w:ascii="Times New Roman" w:hAnsi="Times New Roman" w:eastAsia="仿宋_GB2312"/>
          <w:bCs/>
          <w:sz w:val="24"/>
          <w:szCs w:val="24"/>
        </w:rPr>
        <w:t>，具有良好的职业素养和较强的创新创业能力。</w:t>
      </w:r>
    </w:p>
    <w:p w14:paraId="57F57E91">
      <w:pPr>
        <w:pStyle w:val="7"/>
        <w:spacing w:line="360" w:lineRule="exact"/>
        <w:ind w:firstLine="480"/>
        <w:rPr>
          <w:rFonts w:hint="eastAsia" w:ascii="Times New Roman" w:hAnsi="Times New Roman" w:eastAsia="仿宋_GB2312"/>
          <w:bCs/>
          <w:sz w:val="24"/>
          <w:szCs w:val="24"/>
        </w:rPr>
      </w:pPr>
      <w:r>
        <w:rPr>
          <w:rFonts w:hint="eastAsia" w:ascii="Times New Roman" w:hAnsi="Times New Roman" w:eastAsia="仿宋_GB2312"/>
          <w:bCs/>
          <w:sz w:val="24"/>
          <w:szCs w:val="24"/>
        </w:rPr>
        <w:t>（3）积极锻炼身体，拥有良好的心理素质。</w:t>
      </w:r>
    </w:p>
    <w:p w14:paraId="02B4FC07">
      <w:pPr>
        <w:pStyle w:val="7"/>
        <w:spacing w:line="360" w:lineRule="exact"/>
        <w:ind w:firstLine="480"/>
        <w:rPr>
          <w:rFonts w:hint="eastAsia" w:ascii="Times New Roman" w:hAnsi="Times New Roman" w:eastAsia="仿宋_GB2312"/>
          <w:bCs/>
          <w:sz w:val="24"/>
          <w:szCs w:val="24"/>
          <w:lang w:val="en-US" w:eastAsia="zh-CN"/>
        </w:rPr>
      </w:pPr>
    </w:p>
    <w:p w14:paraId="6626DB52">
      <w:pPr>
        <w:numPr>
          <w:ilvl w:val="0"/>
          <w:numId w:val="0"/>
        </w:numPr>
        <w:spacing w:line="360" w:lineRule="exact"/>
        <w:rPr>
          <w:rFonts w:ascii="Times New Roman" w:hAnsi="Times New Roman" w:eastAsia="黑体"/>
          <w:bCs/>
          <w:sz w:val="24"/>
          <w:szCs w:val="24"/>
        </w:rPr>
      </w:pPr>
      <w:r>
        <w:rPr>
          <w:rFonts w:hint="eastAsia" w:ascii="Times New Roman" w:hAnsi="Times New Roman" w:eastAsia="黑体"/>
          <w:bCs/>
          <w:sz w:val="24"/>
          <w:szCs w:val="24"/>
          <w:lang w:val="en-US" w:eastAsia="zh-CN"/>
        </w:rPr>
        <w:t>五、</w:t>
      </w:r>
      <w:r>
        <w:rPr>
          <w:rFonts w:ascii="Times New Roman" w:hAnsi="Times New Roman" w:eastAsia="黑体"/>
          <w:bCs/>
          <w:sz w:val="24"/>
          <w:szCs w:val="24"/>
        </w:rPr>
        <w:t>培养方式</w:t>
      </w:r>
    </w:p>
    <w:p w14:paraId="498E79A1">
      <w:pPr>
        <w:pStyle w:val="8"/>
        <w:adjustRightInd w:val="0"/>
        <w:spacing w:line="360" w:lineRule="exact"/>
        <w:ind w:firstLine="480"/>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同等学力人员申请硕士学位分为三个阶段: 第一阶段为课程学习培养阶段（简称第一阶段），第二阶段为取得全国统一考试阶段(简称第二阶段)，第三阶段为撰写学位论文及答辩阶段(简称第三阶段)。</w:t>
      </w:r>
    </w:p>
    <w:p w14:paraId="0DA41444">
      <w:pPr>
        <w:pStyle w:val="8"/>
        <w:adjustRightInd w:val="0"/>
        <w:spacing w:line="360" w:lineRule="exact"/>
        <w:ind w:firstLine="480"/>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申请人自通过资格审查之日起，按学校教学进度安排，修完第一阶段的江西财经大学同等学力规定的全部课程，按要求参加课程考试，课程学习期一般为1年，采取周末网络远程/自学相结合的方式，完成学习并通过课程考试，成绩合格，颁发《江西财经大学结业证书》。</w:t>
      </w:r>
    </w:p>
    <w:p w14:paraId="122872B1">
      <w:pPr>
        <w:pStyle w:val="8"/>
        <w:adjustRightInd w:val="0"/>
        <w:spacing w:line="360" w:lineRule="exact"/>
        <w:ind w:firstLine="480"/>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获得学士学位满三年，可申请第二阶段的全国统考硕士学位外国语水平和学科综合水平考试。统考每年举行一次，3月初报名，5月下旬考试。四年内未全部通过课程和全国统一考试者，所修课程学分无效。</w:t>
      </w:r>
    </w:p>
    <w:p w14:paraId="17959322">
      <w:pPr>
        <w:pStyle w:val="8"/>
        <w:adjustRightInd w:val="0"/>
        <w:spacing w:line="360" w:lineRule="exact"/>
        <w:ind w:firstLine="480"/>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申请人完成本项目研修课程学习，并通过外国语水平全国统考和学科综合水平全国统考后，进入申请硕士学位阶段。第三阶段须在通过全部课程考试(含两门全国统考科目)后的一年内提交学位论文，论文答辩在申请人提交论文后的半年内进行。</w:t>
      </w:r>
    </w:p>
    <w:p w14:paraId="05CE2114">
      <w:pPr>
        <w:spacing w:line="360" w:lineRule="exact"/>
        <w:ind w:firstLine="480" w:firstLineChars="200"/>
        <w:rPr>
          <w:rFonts w:hint="eastAsia" w:ascii="Times New Roman" w:hAnsi="Times New Roman" w:eastAsia="黑体"/>
          <w:bCs/>
          <w:sz w:val="24"/>
          <w:szCs w:val="24"/>
          <w:lang w:val="en-US" w:eastAsia="zh-CN"/>
        </w:rPr>
      </w:pPr>
    </w:p>
    <w:p w14:paraId="3183F4F0">
      <w:pPr>
        <w:spacing w:line="360" w:lineRule="exact"/>
        <w:ind w:firstLine="480" w:firstLineChars="200"/>
        <w:rPr>
          <w:rFonts w:ascii="Times New Roman" w:hAnsi="Times New Roman" w:eastAsia="黑体"/>
          <w:bCs/>
          <w:sz w:val="24"/>
          <w:szCs w:val="24"/>
        </w:rPr>
      </w:pPr>
      <w:r>
        <w:rPr>
          <w:rFonts w:hint="eastAsia" w:ascii="Times New Roman" w:hAnsi="Times New Roman" w:eastAsia="黑体"/>
          <w:bCs/>
          <w:sz w:val="24"/>
          <w:szCs w:val="24"/>
          <w:lang w:val="en-US" w:eastAsia="zh-CN"/>
        </w:rPr>
        <w:t>六</w:t>
      </w:r>
      <w:r>
        <w:rPr>
          <w:rFonts w:ascii="Times New Roman" w:hAnsi="Times New Roman" w:eastAsia="黑体"/>
          <w:bCs/>
          <w:sz w:val="24"/>
          <w:szCs w:val="24"/>
        </w:rPr>
        <w:t>、标准学制和学习年限</w:t>
      </w:r>
    </w:p>
    <w:p w14:paraId="1139E0BF">
      <w:pPr>
        <w:pStyle w:val="7"/>
        <w:spacing w:line="360" w:lineRule="exact"/>
        <w:ind w:firstLine="480"/>
        <w:rPr>
          <w:rFonts w:hint="eastAsia" w:ascii="Times New Roman" w:hAnsi="Times New Roman" w:eastAsia="仿宋_GB2312"/>
          <w:bCs/>
          <w:sz w:val="24"/>
          <w:szCs w:val="24"/>
        </w:rPr>
      </w:pPr>
      <w:r>
        <w:rPr>
          <w:rFonts w:hint="eastAsia" w:ascii="仿宋" w:hAnsi="仿宋" w:eastAsia="仿宋"/>
          <w:sz w:val="24"/>
          <w:szCs w:val="24"/>
        </w:rPr>
        <w:t>本专业学位</w:t>
      </w:r>
      <w:r>
        <w:rPr>
          <w:rFonts w:hint="eastAsia" w:ascii="Times New Roman" w:hAnsi="Times New Roman" w:eastAsia="仿宋_GB2312"/>
          <w:bCs/>
          <w:sz w:val="24"/>
          <w:szCs w:val="24"/>
        </w:rPr>
        <w:t>研究生学制为</w:t>
      </w:r>
      <w:r>
        <w:rPr>
          <w:rFonts w:hint="eastAsia" w:ascii="Times New Roman" w:hAnsi="Times New Roman" w:eastAsia="仿宋_GB2312"/>
          <w:bCs/>
          <w:sz w:val="24"/>
          <w:szCs w:val="24"/>
          <w:highlight w:val="none"/>
          <w:lang w:val="en-US" w:eastAsia="zh-CN"/>
        </w:rPr>
        <w:t>2.5</w:t>
      </w:r>
      <w:r>
        <w:rPr>
          <w:rFonts w:hint="eastAsia" w:ascii="Times New Roman" w:hAnsi="Times New Roman" w:eastAsia="仿宋_GB2312"/>
          <w:bCs/>
          <w:sz w:val="24"/>
          <w:szCs w:val="24"/>
          <w:highlight w:val="none"/>
        </w:rPr>
        <w:t>年</w:t>
      </w:r>
      <w:r>
        <w:rPr>
          <w:rFonts w:hint="eastAsia" w:ascii="Times New Roman" w:hAnsi="Times New Roman" w:eastAsia="仿宋_GB2312"/>
          <w:bCs/>
          <w:sz w:val="24"/>
          <w:szCs w:val="24"/>
        </w:rPr>
        <w:t>，最长不超过5年。包括课程学习</w:t>
      </w:r>
      <w:r>
        <w:rPr>
          <w:rFonts w:hint="eastAsia" w:ascii="Times New Roman" w:hAnsi="Times New Roman" w:eastAsia="仿宋_GB2312"/>
          <w:bCs/>
          <w:sz w:val="24"/>
          <w:szCs w:val="24"/>
          <w:lang w:eastAsia="zh-CN"/>
        </w:rPr>
        <w:t>、</w:t>
      </w:r>
      <w:r>
        <w:rPr>
          <w:rFonts w:hint="eastAsia" w:ascii="Times New Roman" w:hAnsi="Times New Roman" w:eastAsia="仿宋_GB2312"/>
          <w:bCs/>
          <w:sz w:val="24"/>
          <w:szCs w:val="24"/>
          <w:lang w:val="en-US" w:eastAsia="zh-CN"/>
        </w:rPr>
        <w:t>申硕考试</w:t>
      </w:r>
      <w:r>
        <w:rPr>
          <w:rFonts w:hint="eastAsia" w:ascii="Times New Roman" w:hAnsi="Times New Roman" w:eastAsia="仿宋_GB2312"/>
          <w:bCs/>
          <w:sz w:val="24"/>
          <w:szCs w:val="24"/>
        </w:rPr>
        <w:t>和学位论文</w:t>
      </w:r>
      <w:r>
        <w:rPr>
          <w:rFonts w:hint="eastAsia" w:ascii="Times New Roman" w:hAnsi="Times New Roman" w:eastAsia="仿宋_GB2312"/>
          <w:bCs/>
          <w:sz w:val="24"/>
          <w:szCs w:val="24"/>
          <w:lang w:val="en-US" w:eastAsia="zh-CN"/>
        </w:rPr>
        <w:t>三</w:t>
      </w:r>
      <w:r>
        <w:rPr>
          <w:rFonts w:hint="eastAsia" w:ascii="Times New Roman" w:hAnsi="Times New Roman" w:eastAsia="仿宋_GB2312"/>
          <w:bCs/>
          <w:sz w:val="24"/>
          <w:szCs w:val="24"/>
        </w:rPr>
        <w:t>个培养环节，课程由公共课程</w:t>
      </w:r>
      <w:r>
        <w:rPr>
          <w:rFonts w:hint="eastAsia" w:ascii="Times New Roman" w:hAnsi="Times New Roman" w:eastAsia="仿宋_GB2312"/>
          <w:bCs/>
          <w:sz w:val="24"/>
          <w:szCs w:val="24"/>
          <w:lang w:val="en-US" w:eastAsia="zh-CN"/>
        </w:rPr>
        <w:t>和</w:t>
      </w:r>
      <w:r>
        <w:rPr>
          <w:rFonts w:hint="eastAsia" w:ascii="Times New Roman" w:hAnsi="Times New Roman" w:eastAsia="仿宋_GB2312"/>
          <w:bCs/>
          <w:sz w:val="24"/>
          <w:szCs w:val="24"/>
        </w:rPr>
        <w:t>专业课程组成。</w:t>
      </w:r>
    </w:p>
    <w:p w14:paraId="7F40F8AE">
      <w:pPr>
        <w:pStyle w:val="7"/>
        <w:spacing w:line="360" w:lineRule="exact"/>
        <w:ind w:firstLine="480"/>
        <w:rPr>
          <w:rFonts w:hint="eastAsia" w:ascii="Times New Roman" w:hAnsi="Times New Roman" w:eastAsia="仿宋_GB2312"/>
          <w:bCs/>
          <w:sz w:val="24"/>
          <w:szCs w:val="24"/>
        </w:rPr>
      </w:pPr>
    </w:p>
    <w:p w14:paraId="254F7A36">
      <w:pPr>
        <w:spacing w:line="360" w:lineRule="exact"/>
        <w:ind w:firstLine="480" w:firstLineChars="200"/>
        <w:rPr>
          <w:rFonts w:ascii="Times New Roman" w:hAnsi="Times New Roman" w:eastAsia="黑体"/>
          <w:bCs/>
          <w:sz w:val="24"/>
          <w:szCs w:val="24"/>
        </w:rPr>
      </w:pPr>
      <w:r>
        <w:rPr>
          <w:rFonts w:hint="eastAsia" w:ascii="Times New Roman" w:hAnsi="Times New Roman" w:eastAsia="黑体"/>
          <w:bCs/>
          <w:sz w:val="24"/>
          <w:szCs w:val="24"/>
          <w:lang w:val="en-US" w:eastAsia="zh-CN"/>
        </w:rPr>
        <w:t>七</w:t>
      </w:r>
      <w:r>
        <w:rPr>
          <w:rFonts w:ascii="Times New Roman" w:hAnsi="Times New Roman" w:eastAsia="黑体"/>
          <w:bCs/>
          <w:sz w:val="24"/>
          <w:szCs w:val="24"/>
        </w:rPr>
        <w:t>、学分要求</w:t>
      </w:r>
    </w:p>
    <w:p w14:paraId="4B83AEC0">
      <w:pPr>
        <w:pStyle w:val="7"/>
        <w:spacing w:line="360" w:lineRule="exact"/>
        <w:ind w:firstLine="480"/>
        <w:rPr>
          <w:rFonts w:hint="eastAsia" w:ascii="仿宋" w:hAnsi="仿宋" w:eastAsia="仿宋"/>
          <w:sz w:val="24"/>
          <w:szCs w:val="24"/>
          <w:lang w:eastAsia="zh-CN"/>
        </w:rPr>
      </w:pPr>
      <w:r>
        <w:rPr>
          <w:rFonts w:hint="eastAsia" w:ascii="仿宋" w:hAnsi="仿宋" w:eastAsia="仿宋"/>
          <w:sz w:val="24"/>
          <w:szCs w:val="24"/>
        </w:rPr>
        <w:t>本专业硕士课程总学分不少于26学分，其中由公共必修课程5学分、专业必修课程不少于12学分，专业选修课程不少于5学分</w:t>
      </w:r>
      <w:r>
        <w:rPr>
          <w:rFonts w:hint="eastAsia" w:ascii="仿宋" w:hAnsi="仿宋" w:eastAsia="仿宋"/>
          <w:sz w:val="24"/>
          <w:szCs w:val="24"/>
          <w:lang w:eastAsia="zh-CN"/>
        </w:rPr>
        <w:t>。</w:t>
      </w:r>
    </w:p>
    <w:p w14:paraId="1645E05D">
      <w:pPr>
        <w:pStyle w:val="7"/>
        <w:spacing w:line="360" w:lineRule="exact"/>
        <w:ind w:firstLine="480"/>
        <w:rPr>
          <w:rFonts w:hint="eastAsia" w:ascii="仿宋" w:hAnsi="仿宋" w:eastAsia="仿宋"/>
          <w:sz w:val="24"/>
          <w:szCs w:val="24"/>
          <w:lang w:eastAsia="zh-CN"/>
        </w:rPr>
      </w:pPr>
    </w:p>
    <w:p w14:paraId="6BDB43A4">
      <w:pPr>
        <w:adjustRightInd w:val="0"/>
        <w:snapToGrid w:val="0"/>
        <w:spacing w:line="360" w:lineRule="auto"/>
        <w:jc w:val="center"/>
        <w:rPr>
          <w:rFonts w:ascii="黑体" w:eastAsia="黑体"/>
          <w:sz w:val="28"/>
          <w:szCs w:val="28"/>
        </w:rPr>
      </w:pPr>
      <w:r>
        <w:rPr>
          <w:rFonts w:hint="eastAsia" w:ascii="黑体" w:eastAsia="黑体"/>
          <w:sz w:val="28"/>
          <w:szCs w:val="28"/>
        </w:rPr>
        <w:t>江西财经大学工程管理专业</w:t>
      </w:r>
      <w:r>
        <w:rPr>
          <w:rFonts w:ascii="黑体" w:eastAsia="黑体"/>
          <w:sz w:val="28"/>
          <w:szCs w:val="28"/>
        </w:rPr>
        <w:t>同等学力</w:t>
      </w:r>
      <w:r>
        <w:rPr>
          <w:rFonts w:hint="eastAsia" w:ascii="黑体" w:eastAsia="黑体"/>
          <w:sz w:val="28"/>
          <w:szCs w:val="28"/>
        </w:rPr>
        <w:t>申请硕士学位课程设置表</w:t>
      </w:r>
    </w:p>
    <w:tbl>
      <w:tblPr>
        <w:tblStyle w:val="4"/>
        <w:tblW w:w="77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3"/>
        <w:gridCol w:w="3136"/>
        <w:gridCol w:w="564"/>
        <w:gridCol w:w="2564"/>
      </w:tblGrid>
      <w:tr w14:paraId="0BF0E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1493" w:type="dxa"/>
            <w:vMerge w:val="restart"/>
            <w:shd w:val="clear" w:color="auto" w:fill="auto"/>
            <w:noWrap w:val="0"/>
            <w:vAlign w:val="center"/>
          </w:tcPr>
          <w:p w14:paraId="3422455A">
            <w:pPr>
              <w:widowControl/>
              <w:jc w:val="center"/>
              <w:rPr>
                <w:rFonts w:hint="eastAsia" w:ascii="宋体" w:hAnsi="宋体" w:cs="宋体"/>
                <w:b/>
                <w:bCs/>
                <w:kern w:val="0"/>
                <w:szCs w:val="21"/>
              </w:rPr>
            </w:pPr>
            <w:r>
              <w:rPr>
                <w:rFonts w:hint="eastAsia" w:ascii="宋体" w:hAnsi="宋体" w:cs="宋体"/>
                <w:b/>
                <w:bCs/>
                <w:kern w:val="0"/>
                <w:szCs w:val="21"/>
              </w:rPr>
              <w:t>课程</w:t>
            </w:r>
          </w:p>
          <w:p w14:paraId="3E58573C">
            <w:pPr>
              <w:widowControl/>
              <w:jc w:val="center"/>
              <w:rPr>
                <w:rFonts w:hint="eastAsia" w:ascii="宋体" w:hAnsi="宋体" w:cs="宋体"/>
                <w:b/>
                <w:bCs/>
                <w:kern w:val="0"/>
                <w:szCs w:val="21"/>
              </w:rPr>
            </w:pPr>
            <w:r>
              <w:rPr>
                <w:rFonts w:hint="eastAsia" w:ascii="宋体" w:hAnsi="宋体" w:cs="宋体"/>
                <w:b/>
                <w:bCs/>
                <w:kern w:val="0"/>
                <w:szCs w:val="21"/>
              </w:rPr>
              <w:t>类型</w:t>
            </w:r>
          </w:p>
        </w:tc>
        <w:tc>
          <w:tcPr>
            <w:tcW w:w="3136" w:type="dxa"/>
            <w:vMerge w:val="restart"/>
            <w:shd w:val="clear" w:color="auto" w:fill="auto"/>
            <w:noWrap w:val="0"/>
            <w:vAlign w:val="center"/>
          </w:tcPr>
          <w:p w14:paraId="2BCE59FF">
            <w:pPr>
              <w:widowControl/>
              <w:jc w:val="center"/>
              <w:rPr>
                <w:rFonts w:hint="eastAsia" w:ascii="宋体" w:hAnsi="宋体" w:cs="宋体"/>
                <w:b/>
                <w:bCs/>
                <w:kern w:val="0"/>
                <w:szCs w:val="21"/>
              </w:rPr>
            </w:pPr>
            <w:r>
              <w:rPr>
                <w:rFonts w:hint="eastAsia" w:ascii="宋体" w:hAnsi="宋体" w:cs="宋体"/>
                <w:b/>
                <w:bCs/>
                <w:kern w:val="0"/>
                <w:szCs w:val="21"/>
              </w:rPr>
              <w:t>课</w:t>
            </w:r>
            <w:r>
              <w:rPr>
                <w:rFonts w:cs="Calibri"/>
                <w:b/>
                <w:bCs/>
                <w:kern w:val="0"/>
                <w:szCs w:val="21"/>
              </w:rPr>
              <w:t xml:space="preserve"> </w:t>
            </w:r>
            <w:r>
              <w:rPr>
                <w:rFonts w:hint="eastAsia" w:ascii="宋体" w:hAnsi="宋体" w:cs="宋体"/>
                <w:b/>
                <w:bCs/>
                <w:kern w:val="0"/>
                <w:szCs w:val="21"/>
              </w:rPr>
              <w:t>程</w:t>
            </w:r>
            <w:r>
              <w:rPr>
                <w:rFonts w:cs="Calibri"/>
                <w:b/>
                <w:bCs/>
                <w:kern w:val="0"/>
                <w:szCs w:val="21"/>
              </w:rPr>
              <w:t xml:space="preserve"> </w:t>
            </w:r>
            <w:r>
              <w:rPr>
                <w:rFonts w:hint="eastAsia" w:ascii="宋体" w:hAnsi="宋体" w:cs="宋体"/>
                <w:b/>
                <w:bCs/>
                <w:kern w:val="0"/>
                <w:szCs w:val="21"/>
              </w:rPr>
              <w:t>名</w:t>
            </w:r>
            <w:r>
              <w:rPr>
                <w:rFonts w:cs="Calibri"/>
                <w:b/>
                <w:bCs/>
                <w:kern w:val="0"/>
                <w:szCs w:val="21"/>
              </w:rPr>
              <w:t xml:space="preserve"> </w:t>
            </w:r>
            <w:r>
              <w:rPr>
                <w:rFonts w:hint="eastAsia" w:ascii="宋体" w:hAnsi="宋体" w:cs="宋体"/>
                <w:b/>
                <w:bCs/>
                <w:kern w:val="0"/>
                <w:szCs w:val="21"/>
              </w:rPr>
              <w:t>称</w:t>
            </w:r>
          </w:p>
        </w:tc>
        <w:tc>
          <w:tcPr>
            <w:tcW w:w="564" w:type="dxa"/>
            <w:vMerge w:val="restart"/>
            <w:shd w:val="clear" w:color="auto" w:fill="auto"/>
            <w:noWrap w:val="0"/>
            <w:vAlign w:val="center"/>
          </w:tcPr>
          <w:p w14:paraId="710A26A6">
            <w:pPr>
              <w:widowControl/>
              <w:jc w:val="center"/>
              <w:rPr>
                <w:rFonts w:hint="eastAsia" w:ascii="宋体" w:hAnsi="宋体" w:cs="宋体"/>
                <w:b/>
                <w:bCs/>
                <w:kern w:val="0"/>
                <w:szCs w:val="21"/>
              </w:rPr>
            </w:pPr>
            <w:r>
              <w:rPr>
                <w:rFonts w:hint="eastAsia" w:ascii="宋体" w:hAnsi="宋体" w:cs="宋体"/>
                <w:b/>
                <w:bCs/>
                <w:kern w:val="0"/>
                <w:szCs w:val="21"/>
              </w:rPr>
              <w:t>学分</w:t>
            </w:r>
          </w:p>
        </w:tc>
        <w:tc>
          <w:tcPr>
            <w:tcW w:w="2564" w:type="dxa"/>
            <w:vMerge w:val="restart"/>
            <w:shd w:val="clear" w:color="auto" w:fill="auto"/>
            <w:noWrap w:val="0"/>
            <w:vAlign w:val="center"/>
          </w:tcPr>
          <w:p w14:paraId="27ECE99F">
            <w:pPr>
              <w:widowControl/>
              <w:jc w:val="center"/>
              <w:rPr>
                <w:rFonts w:hint="eastAsia" w:ascii="宋体" w:hAnsi="宋体" w:cs="宋体"/>
                <w:b/>
                <w:bCs/>
                <w:kern w:val="0"/>
                <w:szCs w:val="21"/>
              </w:rPr>
            </w:pPr>
            <w:r>
              <w:rPr>
                <w:rFonts w:hint="eastAsia" w:ascii="宋体" w:hAnsi="宋体" w:cs="宋体"/>
                <w:b/>
                <w:bCs/>
                <w:kern w:val="0"/>
                <w:szCs w:val="21"/>
              </w:rPr>
              <w:t>开课学院</w:t>
            </w:r>
          </w:p>
        </w:tc>
      </w:tr>
      <w:tr w14:paraId="5E788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1493" w:type="dxa"/>
            <w:vMerge w:val="continue"/>
            <w:shd w:val="clear" w:color="auto" w:fill="auto"/>
            <w:noWrap w:val="0"/>
            <w:vAlign w:val="center"/>
          </w:tcPr>
          <w:p w14:paraId="62848307">
            <w:pPr>
              <w:widowControl/>
              <w:jc w:val="center"/>
              <w:rPr>
                <w:rFonts w:hint="eastAsia" w:ascii="宋体" w:hAnsi="宋体" w:cs="宋体"/>
                <w:b/>
                <w:bCs/>
                <w:kern w:val="0"/>
                <w:szCs w:val="21"/>
              </w:rPr>
            </w:pPr>
          </w:p>
        </w:tc>
        <w:tc>
          <w:tcPr>
            <w:tcW w:w="3136" w:type="dxa"/>
            <w:vMerge w:val="continue"/>
            <w:shd w:val="clear" w:color="auto" w:fill="auto"/>
            <w:noWrap w:val="0"/>
            <w:vAlign w:val="center"/>
          </w:tcPr>
          <w:p w14:paraId="6463631D">
            <w:pPr>
              <w:widowControl/>
              <w:jc w:val="left"/>
              <w:rPr>
                <w:rFonts w:hint="eastAsia" w:ascii="宋体" w:hAnsi="宋体" w:cs="宋体"/>
                <w:b/>
                <w:bCs/>
                <w:kern w:val="0"/>
                <w:szCs w:val="21"/>
              </w:rPr>
            </w:pPr>
          </w:p>
        </w:tc>
        <w:tc>
          <w:tcPr>
            <w:tcW w:w="564" w:type="dxa"/>
            <w:vMerge w:val="continue"/>
            <w:shd w:val="clear" w:color="auto" w:fill="auto"/>
            <w:noWrap w:val="0"/>
            <w:vAlign w:val="center"/>
          </w:tcPr>
          <w:p w14:paraId="674F4EE7">
            <w:pPr>
              <w:widowControl/>
              <w:jc w:val="left"/>
              <w:rPr>
                <w:rFonts w:hint="eastAsia" w:ascii="宋体" w:hAnsi="宋体" w:cs="宋体"/>
                <w:b/>
                <w:bCs/>
                <w:kern w:val="0"/>
                <w:szCs w:val="21"/>
              </w:rPr>
            </w:pPr>
          </w:p>
        </w:tc>
        <w:tc>
          <w:tcPr>
            <w:tcW w:w="2564" w:type="dxa"/>
            <w:vMerge w:val="continue"/>
            <w:noWrap w:val="0"/>
            <w:vAlign w:val="center"/>
          </w:tcPr>
          <w:p w14:paraId="4CEF514D">
            <w:pPr>
              <w:widowControl/>
              <w:jc w:val="left"/>
              <w:rPr>
                <w:rFonts w:hint="eastAsia" w:ascii="宋体" w:hAnsi="宋体" w:cs="宋体"/>
                <w:b/>
                <w:bCs/>
                <w:kern w:val="0"/>
                <w:szCs w:val="21"/>
              </w:rPr>
            </w:pPr>
          </w:p>
        </w:tc>
      </w:tr>
      <w:tr w14:paraId="31774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1493" w:type="dxa"/>
            <w:vMerge w:val="restart"/>
            <w:shd w:val="clear" w:color="auto" w:fill="auto"/>
            <w:noWrap w:val="0"/>
            <w:vAlign w:val="center"/>
          </w:tcPr>
          <w:p w14:paraId="3899524A">
            <w:pPr>
              <w:widowControl/>
              <w:jc w:val="left"/>
              <w:rPr>
                <w:rFonts w:ascii="Times New Roman" w:hAnsi="Times New Roman"/>
                <w:kern w:val="0"/>
                <w:sz w:val="18"/>
                <w:szCs w:val="18"/>
              </w:rPr>
            </w:pPr>
            <w:r>
              <w:rPr>
                <w:rFonts w:hint="eastAsia" w:ascii="Times New Roman" w:hAnsi="Times New Roman"/>
                <w:kern w:val="0"/>
                <w:sz w:val="18"/>
                <w:szCs w:val="18"/>
              </w:rPr>
              <w:t>公共必修课</w:t>
            </w:r>
          </w:p>
          <w:p w14:paraId="3523342D">
            <w:pPr>
              <w:widowControl/>
              <w:jc w:val="left"/>
              <w:rPr>
                <w:rFonts w:ascii="Times New Roman" w:hAnsi="Times New Roman"/>
                <w:kern w:val="0"/>
                <w:sz w:val="18"/>
                <w:szCs w:val="18"/>
              </w:rPr>
            </w:pPr>
            <w:r>
              <w:rPr>
                <w:rFonts w:hint="eastAsia" w:ascii="Times New Roman" w:hAnsi="Times New Roman"/>
                <w:kern w:val="0"/>
                <w:sz w:val="18"/>
                <w:szCs w:val="18"/>
              </w:rPr>
              <w:t>（学位课）</w:t>
            </w:r>
          </w:p>
        </w:tc>
        <w:tc>
          <w:tcPr>
            <w:tcW w:w="3136" w:type="dxa"/>
            <w:shd w:val="clear" w:color="auto" w:fill="auto"/>
            <w:noWrap w:val="0"/>
            <w:vAlign w:val="center"/>
          </w:tcPr>
          <w:p w14:paraId="237A09E2">
            <w:pPr>
              <w:widowControl/>
              <w:jc w:val="center"/>
              <w:rPr>
                <w:rFonts w:ascii="Times New Roman" w:hAnsi="Times New Roman"/>
                <w:kern w:val="0"/>
                <w:sz w:val="18"/>
                <w:szCs w:val="18"/>
              </w:rPr>
            </w:pPr>
            <w:r>
              <w:rPr>
                <w:rFonts w:hint="eastAsia" w:ascii="Times New Roman" w:hAnsi="Times New Roman"/>
                <w:kern w:val="0"/>
                <w:sz w:val="18"/>
                <w:szCs w:val="18"/>
              </w:rPr>
              <w:t>新时代中国特色社会主义理论与实践</w:t>
            </w:r>
          </w:p>
        </w:tc>
        <w:tc>
          <w:tcPr>
            <w:tcW w:w="564" w:type="dxa"/>
            <w:shd w:val="clear" w:color="auto" w:fill="auto"/>
            <w:noWrap w:val="0"/>
            <w:vAlign w:val="center"/>
          </w:tcPr>
          <w:p w14:paraId="78741AA1">
            <w:pPr>
              <w:widowControl/>
              <w:jc w:val="center"/>
              <w:rPr>
                <w:rFonts w:ascii="Times New Roman" w:hAnsi="Times New Roman"/>
                <w:kern w:val="0"/>
                <w:sz w:val="18"/>
                <w:szCs w:val="18"/>
              </w:rPr>
            </w:pPr>
            <w:r>
              <w:rPr>
                <w:rFonts w:ascii="Times New Roman" w:hAnsi="Times New Roman"/>
                <w:kern w:val="0"/>
                <w:sz w:val="18"/>
                <w:szCs w:val="18"/>
              </w:rPr>
              <w:t>2</w:t>
            </w:r>
          </w:p>
        </w:tc>
        <w:tc>
          <w:tcPr>
            <w:tcW w:w="2564" w:type="dxa"/>
            <w:shd w:val="clear" w:color="auto" w:fill="auto"/>
            <w:noWrap w:val="0"/>
            <w:vAlign w:val="center"/>
          </w:tcPr>
          <w:p w14:paraId="7D9DDC2A">
            <w:pPr>
              <w:widowControl/>
              <w:jc w:val="center"/>
              <w:rPr>
                <w:rFonts w:ascii="Times New Roman" w:hAnsi="Times New Roman"/>
                <w:kern w:val="0"/>
                <w:sz w:val="18"/>
                <w:szCs w:val="18"/>
              </w:rPr>
            </w:pPr>
            <w:r>
              <w:rPr>
                <w:rFonts w:hint="eastAsia" w:ascii="Times New Roman" w:hAnsi="Times New Roman"/>
                <w:kern w:val="0"/>
                <w:sz w:val="18"/>
                <w:szCs w:val="18"/>
              </w:rPr>
              <w:t>马克思主义学院</w:t>
            </w:r>
          </w:p>
        </w:tc>
      </w:tr>
      <w:tr w14:paraId="288E6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1493" w:type="dxa"/>
            <w:vMerge w:val="continue"/>
            <w:shd w:val="clear" w:color="auto" w:fill="auto"/>
            <w:noWrap w:val="0"/>
            <w:vAlign w:val="center"/>
          </w:tcPr>
          <w:p w14:paraId="62DD2796">
            <w:pPr>
              <w:widowControl/>
              <w:jc w:val="left"/>
              <w:rPr>
                <w:rFonts w:ascii="Times New Roman" w:hAnsi="Times New Roman"/>
                <w:kern w:val="0"/>
                <w:sz w:val="18"/>
                <w:szCs w:val="18"/>
              </w:rPr>
            </w:pPr>
          </w:p>
        </w:tc>
        <w:tc>
          <w:tcPr>
            <w:tcW w:w="3136" w:type="dxa"/>
            <w:shd w:val="clear" w:color="auto" w:fill="auto"/>
            <w:noWrap w:val="0"/>
            <w:vAlign w:val="center"/>
          </w:tcPr>
          <w:p w14:paraId="5215AC79">
            <w:pPr>
              <w:widowControl/>
              <w:jc w:val="center"/>
              <w:rPr>
                <w:rFonts w:ascii="Times New Roman" w:hAnsi="Times New Roman"/>
                <w:kern w:val="0"/>
                <w:sz w:val="18"/>
                <w:szCs w:val="18"/>
              </w:rPr>
            </w:pPr>
            <w:r>
              <w:rPr>
                <w:rFonts w:hint="eastAsia" w:ascii="Times New Roman" w:hAnsi="Times New Roman"/>
                <w:kern w:val="0"/>
                <w:sz w:val="18"/>
                <w:szCs w:val="18"/>
              </w:rPr>
              <w:t>英语</w:t>
            </w:r>
          </w:p>
        </w:tc>
        <w:tc>
          <w:tcPr>
            <w:tcW w:w="564" w:type="dxa"/>
            <w:shd w:val="clear" w:color="auto" w:fill="auto"/>
            <w:noWrap w:val="0"/>
            <w:vAlign w:val="center"/>
          </w:tcPr>
          <w:p w14:paraId="5F2AED7F">
            <w:pPr>
              <w:widowControl/>
              <w:jc w:val="center"/>
              <w:rPr>
                <w:rFonts w:ascii="Times New Roman" w:hAnsi="Times New Roman"/>
                <w:kern w:val="0"/>
                <w:sz w:val="18"/>
                <w:szCs w:val="18"/>
              </w:rPr>
            </w:pPr>
            <w:r>
              <w:rPr>
                <w:rFonts w:ascii="Times New Roman" w:hAnsi="Times New Roman"/>
                <w:kern w:val="0"/>
                <w:sz w:val="18"/>
                <w:szCs w:val="18"/>
              </w:rPr>
              <w:t>3</w:t>
            </w:r>
          </w:p>
        </w:tc>
        <w:tc>
          <w:tcPr>
            <w:tcW w:w="2564" w:type="dxa"/>
            <w:shd w:val="clear" w:color="auto" w:fill="auto"/>
            <w:noWrap w:val="0"/>
            <w:vAlign w:val="center"/>
          </w:tcPr>
          <w:p w14:paraId="2215FA8C">
            <w:pPr>
              <w:widowControl/>
              <w:jc w:val="center"/>
              <w:rPr>
                <w:rFonts w:ascii="Times New Roman" w:hAnsi="Times New Roman"/>
                <w:kern w:val="0"/>
                <w:sz w:val="18"/>
                <w:szCs w:val="18"/>
              </w:rPr>
            </w:pPr>
            <w:r>
              <w:rPr>
                <w:rFonts w:hint="eastAsia" w:ascii="Times New Roman" w:hAnsi="Times New Roman"/>
                <w:kern w:val="0"/>
                <w:sz w:val="18"/>
                <w:szCs w:val="18"/>
              </w:rPr>
              <w:t>外国语学院</w:t>
            </w:r>
          </w:p>
        </w:tc>
      </w:tr>
      <w:tr w14:paraId="676E3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1493" w:type="dxa"/>
            <w:vMerge w:val="restart"/>
            <w:shd w:val="clear" w:color="auto" w:fill="auto"/>
            <w:noWrap w:val="0"/>
            <w:vAlign w:val="center"/>
          </w:tcPr>
          <w:p w14:paraId="2D2D3F4E">
            <w:pPr>
              <w:widowControl/>
              <w:jc w:val="left"/>
              <w:rPr>
                <w:rFonts w:ascii="Times New Roman" w:hAnsi="Times New Roman"/>
                <w:kern w:val="0"/>
                <w:sz w:val="18"/>
                <w:szCs w:val="18"/>
              </w:rPr>
            </w:pPr>
            <w:r>
              <w:rPr>
                <w:rFonts w:hint="eastAsia" w:ascii="Times New Roman" w:hAnsi="Times New Roman"/>
                <w:kern w:val="0"/>
                <w:sz w:val="18"/>
                <w:szCs w:val="18"/>
              </w:rPr>
              <w:t>专业必修课（学位课）</w:t>
            </w:r>
          </w:p>
        </w:tc>
        <w:tc>
          <w:tcPr>
            <w:tcW w:w="3136" w:type="dxa"/>
            <w:shd w:val="clear" w:color="auto" w:fill="auto"/>
            <w:noWrap w:val="0"/>
            <w:vAlign w:val="center"/>
          </w:tcPr>
          <w:p w14:paraId="636CCE13">
            <w:pPr>
              <w:widowControl/>
              <w:jc w:val="center"/>
              <w:rPr>
                <w:rFonts w:hint="eastAsia" w:ascii="Times New Roman" w:hAnsi="Times New Roman"/>
                <w:kern w:val="0"/>
                <w:sz w:val="18"/>
                <w:szCs w:val="18"/>
              </w:rPr>
            </w:pPr>
            <w:r>
              <w:rPr>
                <w:rFonts w:hint="eastAsia" w:ascii="Times New Roman" w:hAnsi="Times New Roman"/>
                <w:kern w:val="0"/>
                <w:sz w:val="18"/>
                <w:szCs w:val="18"/>
              </w:rPr>
              <w:t>经济学</w:t>
            </w:r>
          </w:p>
        </w:tc>
        <w:tc>
          <w:tcPr>
            <w:tcW w:w="564" w:type="dxa"/>
            <w:shd w:val="clear" w:color="auto" w:fill="auto"/>
            <w:noWrap w:val="0"/>
            <w:vAlign w:val="center"/>
          </w:tcPr>
          <w:p w14:paraId="05C33922">
            <w:pPr>
              <w:widowControl/>
              <w:jc w:val="center"/>
              <w:rPr>
                <w:rFonts w:ascii="Times New Roman" w:hAnsi="Times New Roman"/>
                <w:kern w:val="0"/>
                <w:sz w:val="18"/>
                <w:szCs w:val="18"/>
              </w:rPr>
            </w:pPr>
            <w:r>
              <w:rPr>
                <w:rFonts w:ascii="Times New Roman" w:hAnsi="Times New Roman"/>
                <w:kern w:val="0"/>
                <w:sz w:val="18"/>
                <w:szCs w:val="18"/>
              </w:rPr>
              <w:t>2</w:t>
            </w:r>
          </w:p>
        </w:tc>
        <w:tc>
          <w:tcPr>
            <w:tcW w:w="2564" w:type="dxa"/>
            <w:shd w:val="clear" w:color="auto" w:fill="auto"/>
            <w:noWrap w:val="0"/>
            <w:vAlign w:val="top"/>
          </w:tcPr>
          <w:p w14:paraId="2DFB8A14">
            <w:pPr>
              <w:jc w:val="center"/>
              <w:rPr>
                <w:rFonts w:ascii="Times New Roman" w:hAnsi="Times New Roman"/>
                <w:kern w:val="0"/>
                <w:sz w:val="18"/>
                <w:szCs w:val="18"/>
              </w:rPr>
            </w:pPr>
            <w:r>
              <w:rPr>
                <w:rFonts w:ascii="Times New Roman" w:hAnsi="Times New Roman"/>
                <w:kern w:val="0"/>
                <w:sz w:val="18"/>
                <w:szCs w:val="18"/>
              </w:rPr>
              <w:t>信息管理</w:t>
            </w:r>
            <w:r>
              <w:rPr>
                <w:rFonts w:hint="eastAsia" w:ascii="Times New Roman" w:hAnsi="Times New Roman"/>
                <w:kern w:val="0"/>
                <w:sz w:val="18"/>
                <w:szCs w:val="18"/>
              </w:rPr>
              <w:t>与数学</w:t>
            </w:r>
            <w:r>
              <w:rPr>
                <w:rFonts w:ascii="Times New Roman" w:hAnsi="Times New Roman"/>
                <w:kern w:val="0"/>
                <w:sz w:val="18"/>
                <w:szCs w:val="18"/>
              </w:rPr>
              <w:t>学院</w:t>
            </w:r>
          </w:p>
        </w:tc>
      </w:tr>
      <w:tr w14:paraId="4A67D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93" w:type="dxa"/>
            <w:vMerge w:val="continue"/>
            <w:shd w:val="clear" w:color="auto" w:fill="auto"/>
            <w:noWrap w:val="0"/>
            <w:vAlign w:val="center"/>
          </w:tcPr>
          <w:p w14:paraId="3E62AEB8">
            <w:pPr>
              <w:widowControl/>
              <w:jc w:val="left"/>
              <w:rPr>
                <w:rFonts w:ascii="Times New Roman" w:hAnsi="Times New Roman"/>
                <w:kern w:val="0"/>
                <w:sz w:val="18"/>
                <w:szCs w:val="18"/>
              </w:rPr>
            </w:pPr>
          </w:p>
        </w:tc>
        <w:tc>
          <w:tcPr>
            <w:tcW w:w="3136" w:type="dxa"/>
            <w:shd w:val="clear" w:color="auto" w:fill="auto"/>
            <w:noWrap w:val="0"/>
            <w:vAlign w:val="center"/>
          </w:tcPr>
          <w:p w14:paraId="7A90C1D6">
            <w:pPr>
              <w:widowControl/>
              <w:jc w:val="center"/>
              <w:rPr>
                <w:rFonts w:ascii="Times New Roman" w:hAnsi="Times New Roman"/>
                <w:kern w:val="0"/>
                <w:sz w:val="18"/>
                <w:szCs w:val="18"/>
              </w:rPr>
            </w:pPr>
            <w:r>
              <w:rPr>
                <w:rFonts w:ascii="Times New Roman" w:hAnsi="Times New Roman"/>
                <w:kern w:val="0"/>
                <w:sz w:val="18"/>
                <w:szCs w:val="18"/>
              </w:rPr>
              <w:t>高级管理学</w:t>
            </w:r>
          </w:p>
        </w:tc>
        <w:tc>
          <w:tcPr>
            <w:tcW w:w="564" w:type="dxa"/>
            <w:shd w:val="clear" w:color="auto" w:fill="auto"/>
            <w:noWrap w:val="0"/>
            <w:vAlign w:val="center"/>
          </w:tcPr>
          <w:p w14:paraId="4162CF44">
            <w:pPr>
              <w:widowControl/>
              <w:jc w:val="center"/>
              <w:rPr>
                <w:rFonts w:ascii="Times New Roman" w:hAnsi="Times New Roman"/>
                <w:kern w:val="0"/>
                <w:sz w:val="18"/>
                <w:szCs w:val="18"/>
              </w:rPr>
            </w:pPr>
            <w:r>
              <w:rPr>
                <w:rFonts w:ascii="Times New Roman" w:hAnsi="Times New Roman"/>
                <w:kern w:val="0"/>
                <w:sz w:val="18"/>
                <w:szCs w:val="18"/>
              </w:rPr>
              <w:t>3</w:t>
            </w:r>
          </w:p>
        </w:tc>
        <w:tc>
          <w:tcPr>
            <w:tcW w:w="2564" w:type="dxa"/>
            <w:shd w:val="clear" w:color="auto" w:fill="auto"/>
            <w:noWrap w:val="0"/>
            <w:vAlign w:val="top"/>
          </w:tcPr>
          <w:p w14:paraId="2140375B">
            <w:pPr>
              <w:jc w:val="center"/>
              <w:rPr>
                <w:rFonts w:ascii="Times New Roman" w:hAnsi="Times New Roman"/>
                <w:kern w:val="0"/>
                <w:sz w:val="18"/>
                <w:szCs w:val="18"/>
              </w:rPr>
            </w:pPr>
            <w:r>
              <w:rPr>
                <w:rFonts w:ascii="Times New Roman" w:hAnsi="Times New Roman"/>
                <w:kern w:val="0"/>
                <w:sz w:val="18"/>
                <w:szCs w:val="18"/>
              </w:rPr>
              <w:t>信息管理</w:t>
            </w:r>
            <w:r>
              <w:rPr>
                <w:rFonts w:hint="eastAsia" w:ascii="Times New Roman" w:hAnsi="Times New Roman"/>
                <w:kern w:val="0"/>
                <w:sz w:val="18"/>
                <w:szCs w:val="18"/>
              </w:rPr>
              <w:t>与数学</w:t>
            </w:r>
            <w:r>
              <w:rPr>
                <w:rFonts w:ascii="Times New Roman" w:hAnsi="Times New Roman"/>
                <w:kern w:val="0"/>
                <w:sz w:val="18"/>
                <w:szCs w:val="18"/>
              </w:rPr>
              <w:t>学院</w:t>
            </w:r>
          </w:p>
        </w:tc>
      </w:tr>
      <w:tr w14:paraId="60997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93" w:type="dxa"/>
            <w:vMerge w:val="continue"/>
            <w:shd w:val="clear" w:color="auto" w:fill="auto"/>
            <w:noWrap w:val="0"/>
            <w:vAlign w:val="center"/>
          </w:tcPr>
          <w:p w14:paraId="6FE6537F">
            <w:pPr>
              <w:widowControl/>
              <w:jc w:val="left"/>
              <w:rPr>
                <w:rFonts w:ascii="Times New Roman" w:hAnsi="Times New Roman"/>
                <w:kern w:val="0"/>
                <w:sz w:val="18"/>
                <w:szCs w:val="18"/>
              </w:rPr>
            </w:pPr>
          </w:p>
        </w:tc>
        <w:tc>
          <w:tcPr>
            <w:tcW w:w="3136" w:type="dxa"/>
            <w:shd w:val="clear" w:color="auto" w:fill="auto"/>
            <w:noWrap w:val="0"/>
            <w:vAlign w:val="center"/>
          </w:tcPr>
          <w:p w14:paraId="327771EB">
            <w:pPr>
              <w:widowControl/>
              <w:jc w:val="center"/>
              <w:rPr>
                <w:rFonts w:ascii="Times New Roman" w:hAnsi="Times New Roman"/>
                <w:kern w:val="0"/>
                <w:sz w:val="18"/>
                <w:szCs w:val="18"/>
              </w:rPr>
            </w:pPr>
            <w:r>
              <w:rPr>
                <w:rFonts w:ascii="Times New Roman" w:hAnsi="Times New Roman"/>
                <w:kern w:val="0"/>
                <w:sz w:val="18"/>
                <w:szCs w:val="18"/>
              </w:rPr>
              <w:t>应用统计学</w:t>
            </w:r>
          </w:p>
        </w:tc>
        <w:tc>
          <w:tcPr>
            <w:tcW w:w="564" w:type="dxa"/>
            <w:shd w:val="clear" w:color="auto" w:fill="auto"/>
            <w:noWrap w:val="0"/>
            <w:vAlign w:val="center"/>
          </w:tcPr>
          <w:p w14:paraId="04AEACC1">
            <w:pPr>
              <w:widowControl/>
              <w:jc w:val="center"/>
              <w:rPr>
                <w:rFonts w:hint="eastAsia" w:ascii="Times New Roman" w:hAnsi="Times New Roman"/>
                <w:kern w:val="0"/>
                <w:sz w:val="18"/>
                <w:szCs w:val="18"/>
              </w:rPr>
            </w:pPr>
            <w:r>
              <w:rPr>
                <w:rFonts w:ascii="Times New Roman" w:hAnsi="Times New Roman"/>
                <w:kern w:val="0"/>
                <w:sz w:val="18"/>
                <w:szCs w:val="18"/>
              </w:rPr>
              <w:t>3</w:t>
            </w:r>
          </w:p>
        </w:tc>
        <w:tc>
          <w:tcPr>
            <w:tcW w:w="2564" w:type="dxa"/>
            <w:shd w:val="clear" w:color="auto" w:fill="auto"/>
            <w:noWrap w:val="0"/>
            <w:vAlign w:val="top"/>
          </w:tcPr>
          <w:p w14:paraId="06F2C90F">
            <w:pPr>
              <w:jc w:val="center"/>
              <w:rPr>
                <w:rFonts w:ascii="Times New Roman" w:hAnsi="Times New Roman"/>
                <w:kern w:val="0"/>
                <w:sz w:val="18"/>
                <w:szCs w:val="18"/>
              </w:rPr>
            </w:pPr>
            <w:r>
              <w:rPr>
                <w:rFonts w:ascii="Times New Roman" w:hAnsi="Times New Roman"/>
                <w:kern w:val="0"/>
                <w:sz w:val="18"/>
                <w:szCs w:val="18"/>
              </w:rPr>
              <w:t>信息管理</w:t>
            </w:r>
            <w:r>
              <w:rPr>
                <w:rFonts w:hint="eastAsia" w:ascii="Times New Roman" w:hAnsi="Times New Roman"/>
                <w:kern w:val="0"/>
                <w:sz w:val="18"/>
                <w:szCs w:val="18"/>
              </w:rPr>
              <w:t>与数学</w:t>
            </w:r>
            <w:r>
              <w:rPr>
                <w:rFonts w:ascii="Times New Roman" w:hAnsi="Times New Roman"/>
                <w:kern w:val="0"/>
                <w:sz w:val="18"/>
                <w:szCs w:val="18"/>
              </w:rPr>
              <w:t>学院</w:t>
            </w:r>
          </w:p>
        </w:tc>
      </w:tr>
      <w:tr w14:paraId="01107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1493" w:type="dxa"/>
            <w:vMerge w:val="continue"/>
            <w:shd w:val="clear" w:color="auto" w:fill="auto"/>
            <w:noWrap w:val="0"/>
            <w:vAlign w:val="center"/>
          </w:tcPr>
          <w:p w14:paraId="046FBD0A">
            <w:pPr>
              <w:widowControl/>
              <w:jc w:val="left"/>
              <w:rPr>
                <w:rFonts w:ascii="Times New Roman" w:hAnsi="Times New Roman"/>
                <w:kern w:val="0"/>
                <w:sz w:val="18"/>
                <w:szCs w:val="18"/>
              </w:rPr>
            </w:pPr>
          </w:p>
        </w:tc>
        <w:tc>
          <w:tcPr>
            <w:tcW w:w="3136" w:type="dxa"/>
            <w:shd w:val="clear" w:color="auto" w:fill="auto"/>
            <w:noWrap w:val="0"/>
            <w:vAlign w:val="center"/>
          </w:tcPr>
          <w:p w14:paraId="1F21115A">
            <w:pPr>
              <w:widowControl/>
              <w:jc w:val="center"/>
              <w:rPr>
                <w:rFonts w:hint="eastAsia" w:ascii="Times New Roman" w:hAnsi="Times New Roman"/>
                <w:kern w:val="0"/>
                <w:sz w:val="18"/>
                <w:szCs w:val="18"/>
              </w:rPr>
            </w:pPr>
            <w:r>
              <w:rPr>
                <w:rFonts w:ascii="Times New Roman" w:hAnsi="Times New Roman"/>
                <w:kern w:val="0"/>
                <w:sz w:val="18"/>
                <w:szCs w:val="18"/>
              </w:rPr>
              <w:t>企业战略管理</w:t>
            </w:r>
          </w:p>
        </w:tc>
        <w:tc>
          <w:tcPr>
            <w:tcW w:w="564" w:type="dxa"/>
            <w:shd w:val="clear" w:color="auto" w:fill="auto"/>
            <w:noWrap w:val="0"/>
            <w:vAlign w:val="center"/>
          </w:tcPr>
          <w:p w14:paraId="7CAE4128">
            <w:pPr>
              <w:widowControl/>
              <w:jc w:val="center"/>
              <w:rPr>
                <w:rFonts w:ascii="Times New Roman" w:hAnsi="Times New Roman"/>
                <w:kern w:val="0"/>
                <w:sz w:val="18"/>
                <w:szCs w:val="18"/>
              </w:rPr>
            </w:pPr>
            <w:r>
              <w:rPr>
                <w:rFonts w:ascii="Times New Roman" w:hAnsi="Times New Roman"/>
                <w:kern w:val="0"/>
                <w:sz w:val="18"/>
                <w:szCs w:val="18"/>
              </w:rPr>
              <w:t>2</w:t>
            </w:r>
          </w:p>
        </w:tc>
        <w:tc>
          <w:tcPr>
            <w:tcW w:w="2564" w:type="dxa"/>
            <w:shd w:val="clear" w:color="auto" w:fill="auto"/>
            <w:noWrap w:val="0"/>
            <w:vAlign w:val="top"/>
          </w:tcPr>
          <w:p w14:paraId="722C4B54">
            <w:pPr>
              <w:jc w:val="center"/>
              <w:rPr>
                <w:rFonts w:ascii="Times New Roman" w:hAnsi="Times New Roman"/>
                <w:kern w:val="0"/>
                <w:sz w:val="18"/>
                <w:szCs w:val="18"/>
              </w:rPr>
            </w:pPr>
            <w:r>
              <w:rPr>
                <w:rFonts w:hint="eastAsia" w:ascii="Times New Roman" w:hAnsi="Times New Roman"/>
                <w:kern w:val="0"/>
                <w:sz w:val="18"/>
                <w:szCs w:val="18"/>
              </w:rPr>
              <w:t>工商管理</w:t>
            </w:r>
            <w:r>
              <w:rPr>
                <w:rFonts w:ascii="Times New Roman" w:hAnsi="Times New Roman"/>
                <w:kern w:val="0"/>
                <w:sz w:val="18"/>
                <w:szCs w:val="18"/>
              </w:rPr>
              <w:t>学院</w:t>
            </w:r>
          </w:p>
        </w:tc>
      </w:tr>
      <w:tr w14:paraId="05F96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493" w:type="dxa"/>
            <w:vMerge w:val="continue"/>
            <w:shd w:val="clear" w:color="auto" w:fill="auto"/>
            <w:noWrap w:val="0"/>
            <w:vAlign w:val="center"/>
          </w:tcPr>
          <w:p w14:paraId="3B7089F2">
            <w:pPr>
              <w:widowControl/>
              <w:jc w:val="left"/>
              <w:rPr>
                <w:rFonts w:ascii="Times New Roman" w:hAnsi="Times New Roman"/>
                <w:kern w:val="0"/>
                <w:sz w:val="18"/>
                <w:szCs w:val="18"/>
              </w:rPr>
            </w:pPr>
          </w:p>
        </w:tc>
        <w:tc>
          <w:tcPr>
            <w:tcW w:w="3136" w:type="dxa"/>
            <w:shd w:val="clear" w:color="auto" w:fill="auto"/>
            <w:noWrap w:val="0"/>
            <w:vAlign w:val="center"/>
          </w:tcPr>
          <w:p w14:paraId="44F107E1">
            <w:pPr>
              <w:widowControl/>
              <w:jc w:val="center"/>
              <w:rPr>
                <w:rFonts w:ascii="Times New Roman" w:hAnsi="Times New Roman"/>
                <w:kern w:val="0"/>
                <w:sz w:val="18"/>
                <w:szCs w:val="18"/>
              </w:rPr>
            </w:pPr>
            <w:r>
              <w:rPr>
                <w:rFonts w:hint="eastAsia" w:ascii="Times New Roman" w:hAnsi="Times New Roman"/>
                <w:kern w:val="0"/>
                <w:sz w:val="18"/>
                <w:szCs w:val="18"/>
              </w:rPr>
              <w:t>高等运筹学</w:t>
            </w:r>
          </w:p>
        </w:tc>
        <w:tc>
          <w:tcPr>
            <w:tcW w:w="564" w:type="dxa"/>
            <w:shd w:val="clear" w:color="auto" w:fill="auto"/>
            <w:noWrap w:val="0"/>
            <w:vAlign w:val="center"/>
          </w:tcPr>
          <w:p w14:paraId="47326E06">
            <w:pPr>
              <w:widowControl/>
              <w:jc w:val="center"/>
              <w:rPr>
                <w:rFonts w:ascii="Times New Roman" w:hAnsi="Times New Roman"/>
                <w:kern w:val="0"/>
                <w:sz w:val="18"/>
                <w:szCs w:val="18"/>
              </w:rPr>
            </w:pPr>
            <w:r>
              <w:rPr>
                <w:rFonts w:hint="eastAsia" w:ascii="Times New Roman" w:hAnsi="Times New Roman"/>
                <w:kern w:val="0"/>
                <w:sz w:val="18"/>
                <w:szCs w:val="18"/>
              </w:rPr>
              <w:t>2</w:t>
            </w:r>
          </w:p>
        </w:tc>
        <w:tc>
          <w:tcPr>
            <w:tcW w:w="2564" w:type="dxa"/>
            <w:shd w:val="clear" w:color="auto" w:fill="auto"/>
            <w:noWrap w:val="0"/>
            <w:vAlign w:val="top"/>
          </w:tcPr>
          <w:p w14:paraId="5C791DFD">
            <w:pPr>
              <w:jc w:val="center"/>
              <w:rPr>
                <w:rFonts w:ascii="Times New Roman" w:hAnsi="Times New Roman"/>
                <w:kern w:val="0"/>
                <w:sz w:val="18"/>
                <w:szCs w:val="18"/>
              </w:rPr>
            </w:pPr>
            <w:r>
              <w:rPr>
                <w:rFonts w:ascii="Times New Roman" w:hAnsi="Times New Roman"/>
                <w:kern w:val="0"/>
                <w:sz w:val="18"/>
                <w:szCs w:val="18"/>
              </w:rPr>
              <w:t>信息管理</w:t>
            </w:r>
            <w:r>
              <w:rPr>
                <w:rFonts w:hint="eastAsia" w:ascii="Times New Roman" w:hAnsi="Times New Roman"/>
                <w:kern w:val="0"/>
                <w:sz w:val="18"/>
                <w:szCs w:val="18"/>
              </w:rPr>
              <w:t>与数学</w:t>
            </w:r>
            <w:r>
              <w:rPr>
                <w:rFonts w:ascii="Times New Roman" w:hAnsi="Times New Roman"/>
                <w:kern w:val="0"/>
                <w:sz w:val="18"/>
                <w:szCs w:val="18"/>
              </w:rPr>
              <w:t>学院</w:t>
            </w:r>
          </w:p>
        </w:tc>
      </w:tr>
      <w:tr w14:paraId="7E282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1493" w:type="dxa"/>
            <w:vMerge w:val="restart"/>
            <w:shd w:val="clear" w:color="auto" w:fill="auto"/>
            <w:noWrap w:val="0"/>
            <w:vAlign w:val="center"/>
          </w:tcPr>
          <w:p w14:paraId="7399FC69">
            <w:pPr>
              <w:widowControl/>
              <w:jc w:val="left"/>
              <w:rPr>
                <w:rFonts w:ascii="Times New Roman" w:hAnsi="Times New Roman"/>
                <w:kern w:val="0"/>
                <w:sz w:val="18"/>
                <w:szCs w:val="18"/>
              </w:rPr>
            </w:pPr>
            <w:r>
              <w:rPr>
                <w:rFonts w:hint="eastAsia" w:ascii="Times New Roman" w:hAnsi="Times New Roman"/>
                <w:kern w:val="0"/>
                <w:sz w:val="18"/>
                <w:szCs w:val="18"/>
              </w:rPr>
              <w:t>专业选修课</w:t>
            </w:r>
          </w:p>
        </w:tc>
        <w:tc>
          <w:tcPr>
            <w:tcW w:w="3136" w:type="dxa"/>
            <w:shd w:val="clear" w:color="auto" w:fill="auto"/>
            <w:noWrap w:val="0"/>
            <w:vAlign w:val="center"/>
          </w:tcPr>
          <w:p w14:paraId="30A9FA04">
            <w:pPr>
              <w:widowControl/>
              <w:jc w:val="center"/>
              <w:rPr>
                <w:rFonts w:hint="eastAsia" w:ascii="Times New Roman" w:hAnsi="Times New Roman"/>
                <w:kern w:val="0"/>
                <w:sz w:val="18"/>
                <w:szCs w:val="18"/>
              </w:rPr>
            </w:pPr>
            <w:r>
              <w:rPr>
                <w:rFonts w:hint="eastAsia" w:ascii="Times New Roman" w:hAnsi="Times New Roman"/>
                <w:kern w:val="0"/>
                <w:sz w:val="18"/>
                <w:szCs w:val="18"/>
              </w:rPr>
              <w:t>工程项目管理</w:t>
            </w:r>
          </w:p>
        </w:tc>
        <w:tc>
          <w:tcPr>
            <w:tcW w:w="564" w:type="dxa"/>
            <w:shd w:val="clear" w:color="auto" w:fill="auto"/>
            <w:noWrap w:val="0"/>
            <w:vAlign w:val="center"/>
          </w:tcPr>
          <w:p w14:paraId="3AE702C2">
            <w:pPr>
              <w:widowControl/>
              <w:jc w:val="center"/>
              <w:rPr>
                <w:rFonts w:ascii="Times New Roman" w:hAnsi="Times New Roman"/>
                <w:kern w:val="0"/>
                <w:sz w:val="18"/>
                <w:szCs w:val="18"/>
              </w:rPr>
            </w:pPr>
            <w:r>
              <w:rPr>
                <w:rFonts w:hint="eastAsia" w:ascii="Times New Roman" w:hAnsi="Times New Roman"/>
                <w:kern w:val="0"/>
                <w:sz w:val="18"/>
                <w:szCs w:val="18"/>
              </w:rPr>
              <w:t>3</w:t>
            </w:r>
          </w:p>
        </w:tc>
        <w:tc>
          <w:tcPr>
            <w:tcW w:w="2564" w:type="dxa"/>
            <w:shd w:val="clear" w:color="auto" w:fill="auto"/>
            <w:noWrap w:val="0"/>
            <w:vAlign w:val="top"/>
          </w:tcPr>
          <w:p w14:paraId="1F84045A">
            <w:pPr>
              <w:jc w:val="center"/>
              <w:rPr>
                <w:rFonts w:ascii="Times New Roman" w:hAnsi="Times New Roman"/>
                <w:kern w:val="0"/>
                <w:sz w:val="18"/>
                <w:szCs w:val="18"/>
              </w:rPr>
            </w:pPr>
            <w:r>
              <w:rPr>
                <w:rFonts w:ascii="Times New Roman" w:hAnsi="Times New Roman"/>
                <w:kern w:val="0"/>
                <w:sz w:val="18"/>
                <w:szCs w:val="18"/>
              </w:rPr>
              <w:t>信息管理</w:t>
            </w:r>
            <w:r>
              <w:rPr>
                <w:rFonts w:hint="eastAsia" w:ascii="Times New Roman" w:hAnsi="Times New Roman"/>
                <w:kern w:val="0"/>
                <w:sz w:val="18"/>
                <w:szCs w:val="18"/>
              </w:rPr>
              <w:t>与数学</w:t>
            </w:r>
            <w:r>
              <w:rPr>
                <w:rFonts w:ascii="Times New Roman" w:hAnsi="Times New Roman"/>
                <w:kern w:val="0"/>
                <w:sz w:val="18"/>
                <w:szCs w:val="18"/>
              </w:rPr>
              <w:t>学院</w:t>
            </w:r>
          </w:p>
        </w:tc>
      </w:tr>
      <w:tr w14:paraId="188ED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1493" w:type="dxa"/>
            <w:vMerge w:val="continue"/>
            <w:shd w:val="clear" w:color="auto" w:fill="auto"/>
            <w:noWrap w:val="0"/>
            <w:vAlign w:val="center"/>
          </w:tcPr>
          <w:p w14:paraId="704DB596">
            <w:pPr>
              <w:widowControl/>
              <w:jc w:val="left"/>
              <w:rPr>
                <w:rFonts w:ascii="Times New Roman" w:hAnsi="Times New Roman"/>
                <w:kern w:val="0"/>
                <w:sz w:val="18"/>
                <w:szCs w:val="18"/>
              </w:rPr>
            </w:pPr>
          </w:p>
        </w:tc>
        <w:tc>
          <w:tcPr>
            <w:tcW w:w="3136" w:type="dxa"/>
            <w:shd w:val="clear" w:color="auto" w:fill="auto"/>
            <w:noWrap w:val="0"/>
            <w:vAlign w:val="center"/>
          </w:tcPr>
          <w:p w14:paraId="23B543DD">
            <w:pPr>
              <w:widowControl/>
              <w:jc w:val="center"/>
              <w:rPr>
                <w:rFonts w:hint="eastAsia" w:ascii="Times New Roman" w:hAnsi="Times New Roman"/>
                <w:kern w:val="0"/>
                <w:sz w:val="18"/>
                <w:szCs w:val="18"/>
              </w:rPr>
            </w:pPr>
            <w:r>
              <w:rPr>
                <w:rFonts w:ascii="Times New Roman" w:hAnsi="Times New Roman"/>
                <w:kern w:val="0"/>
                <w:sz w:val="18"/>
                <w:szCs w:val="18"/>
              </w:rPr>
              <w:t>工程管理决策方法</w:t>
            </w:r>
          </w:p>
        </w:tc>
        <w:tc>
          <w:tcPr>
            <w:tcW w:w="564" w:type="dxa"/>
            <w:shd w:val="clear" w:color="auto" w:fill="auto"/>
            <w:noWrap w:val="0"/>
            <w:vAlign w:val="center"/>
          </w:tcPr>
          <w:p w14:paraId="42BB243A">
            <w:pPr>
              <w:widowControl/>
              <w:jc w:val="center"/>
              <w:rPr>
                <w:rFonts w:ascii="Times New Roman" w:hAnsi="Times New Roman"/>
                <w:kern w:val="0"/>
                <w:sz w:val="18"/>
                <w:szCs w:val="18"/>
              </w:rPr>
            </w:pPr>
            <w:r>
              <w:rPr>
                <w:rFonts w:hint="eastAsia" w:ascii="Times New Roman" w:hAnsi="Times New Roman"/>
                <w:kern w:val="0"/>
                <w:sz w:val="18"/>
                <w:szCs w:val="18"/>
              </w:rPr>
              <w:t>3</w:t>
            </w:r>
          </w:p>
        </w:tc>
        <w:tc>
          <w:tcPr>
            <w:tcW w:w="2564" w:type="dxa"/>
            <w:shd w:val="clear" w:color="auto" w:fill="auto"/>
            <w:noWrap w:val="0"/>
            <w:vAlign w:val="top"/>
          </w:tcPr>
          <w:p w14:paraId="0910AC43">
            <w:pPr>
              <w:jc w:val="center"/>
              <w:rPr>
                <w:rFonts w:ascii="Times New Roman" w:hAnsi="Times New Roman"/>
                <w:kern w:val="0"/>
                <w:sz w:val="18"/>
                <w:szCs w:val="18"/>
              </w:rPr>
            </w:pPr>
            <w:r>
              <w:rPr>
                <w:rFonts w:ascii="Times New Roman" w:hAnsi="Times New Roman"/>
                <w:kern w:val="0"/>
                <w:sz w:val="18"/>
                <w:szCs w:val="18"/>
              </w:rPr>
              <w:t>信息管理</w:t>
            </w:r>
            <w:r>
              <w:rPr>
                <w:rFonts w:hint="eastAsia" w:ascii="Times New Roman" w:hAnsi="Times New Roman"/>
                <w:kern w:val="0"/>
                <w:sz w:val="18"/>
                <w:szCs w:val="18"/>
              </w:rPr>
              <w:t>与数学</w:t>
            </w:r>
            <w:r>
              <w:rPr>
                <w:rFonts w:ascii="Times New Roman" w:hAnsi="Times New Roman"/>
                <w:kern w:val="0"/>
                <w:sz w:val="18"/>
                <w:szCs w:val="18"/>
              </w:rPr>
              <w:t>学院</w:t>
            </w:r>
          </w:p>
        </w:tc>
      </w:tr>
      <w:tr w14:paraId="00ACF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493" w:type="dxa"/>
            <w:vMerge w:val="continue"/>
            <w:shd w:val="clear" w:color="auto" w:fill="auto"/>
            <w:noWrap w:val="0"/>
            <w:vAlign w:val="center"/>
          </w:tcPr>
          <w:p w14:paraId="4AB0FCA6">
            <w:pPr>
              <w:widowControl/>
              <w:jc w:val="left"/>
              <w:rPr>
                <w:rFonts w:ascii="Times New Roman" w:hAnsi="Times New Roman"/>
                <w:kern w:val="0"/>
                <w:sz w:val="18"/>
                <w:szCs w:val="18"/>
              </w:rPr>
            </w:pPr>
          </w:p>
        </w:tc>
        <w:tc>
          <w:tcPr>
            <w:tcW w:w="3136" w:type="dxa"/>
            <w:shd w:val="clear" w:color="auto" w:fill="auto"/>
            <w:noWrap w:val="0"/>
            <w:vAlign w:val="center"/>
          </w:tcPr>
          <w:p w14:paraId="64938BCB">
            <w:pPr>
              <w:widowControl/>
              <w:jc w:val="center"/>
              <w:rPr>
                <w:rFonts w:hint="eastAsia" w:ascii="Times New Roman" w:hAnsi="Times New Roman"/>
                <w:strike/>
                <w:kern w:val="0"/>
                <w:sz w:val="18"/>
                <w:szCs w:val="18"/>
              </w:rPr>
            </w:pPr>
            <w:r>
              <w:rPr>
                <w:rFonts w:hint="eastAsia" w:ascii="Times New Roman" w:hAnsi="Times New Roman"/>
                <w:kern w:val="0"/>
                <w:sz w:val="18"/>
                <w:szCs w:val="18"/>
              </w:rPr>
              <w:t>工程信息化</w:t>
            </w:r>
            <w:r>
              <w:rPr>
                <w:rFonts w:ascii="Times New Roman" w:hAnsi="Times New Roman"/>
                <w:kern w:val="0"/>
                <w:sz w:val="18"/>
                <w:szCs w:val="18"/>
              </w:rPr>
              <w:t>管理</w:t>
            </w:r>
          </w:p>
        </w:tc>
        <w:tc>
          <w:tcPr>
            <w:tcW w:w="564" w:type="dxa"/>
            <w:shd w:val="clear" w:color="auto" w:fill="auto"/>
            <w:noWrap w:val="0"/>
            <w:vAlign w:val="center"/>
          </w:tcPr>
          <w:p w14:paraId="2611BE50">
            <w:pPr>
              <w:widowControl/>
              <w:jc w:val="center"/>
              <w:rPr>
                <w:rFonts w:ascii="Times New Roman" w:hAnsi="Times New Roman"/>
                <w:kern w:val="0"/>
                <w:sz w:val="18"/>
                <w:szCs w:val="18"/>
              </w:rPr>
            </w:pPr>
            <w:r>
              <w:rPr>
                <w:rFonts w:ascii="Times New Roman" w:hAnsi="Times New Roman"/>
                <w:kern w:val="0"/>
                <w:sz w:val="18"/>
                <w:szCs w:val="18"/>
              </w:rPr>
              <w:t>2</w:t>
            </w:r>
          </w:p>
        </w:tc>
        <w:tc>
          <w:tcPr>
            <w:tcW w:w="2564" w:type="dxa"/>
            <w:shd w:val="clear" w:color="auto" w:fill="auto"/>
            <w:noWrap w:val="0"/>
            <w:vAlign w:val="top"/>
          </w:tcPr>
          <w:p w14:paraId="429ADFB9">
            <w:pPr>
              <w:jc w:val="center"/>
              <w:rPr>
                <w:rFonts w:ascii="Times New Roman" w:hAnsi="Times New Roman"/>
                <w:kern w:val="0"/>
                <w:sz w:val="18"/>
                <w:szCs w:val="18"/>
              </w:rPr>
            </w:pPr>
            <w:r>
              <w:rPr>
                <w:rFonts w:ascii="Times New Roman" w:hAnsi="Times New Roman"/>
                <w:kern w:val="0"/>
                <w:sz w:val="18"/>
                <w:szCs w:val="18"/>
              </w:rPr>
              <w:t>信息管理</w:t>
            </w:r>
            <w:r>
              <w:rPr>
                <w:rFonts w:hint="eastAsia" w:ascii="Times New Roman" w:hAnsi="Times New Roman"/>
                <w:kern w:val="0"/>
                <w:sz w:val="18"/>
                <w:szCs w:val="18"/>
              </w:rPr>
              <w:t>与数学</w:t>
            </w:r>
            <w:r>
              <w:rPr>
                <w:rFonts w:ascii="Times New Roman" w:hAnsi="Times New Roman"/>
                <w:kern w:val="0"/>
                <w:sz w:val="18"/>
                <w:szCs w:val="18"/>
              </w:rPr>
              <w:t>学院</w:t>
            </w:r>
          </w:p>
        </w:tc>
      </w:tr>
      <w:tr w14:paraId="7B6D1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1493" w:type="dxa"/>
            <w:vMerge w:val="continue"/>
            <w:shd w:val="clear" w:color="auto" w:fill="auto"/>
            <w:noWrap w:val="0"/>
            <w:vAlign w:val="center"/>
          </w:tcPr>
          <w:p w14:paraId="42F0CA64">
            <w:pPr>
              <w:widowControl/>
              <w:jc w:val="left"/>
              <w:rPr>
                <w:rFonts w:ascii="Times New Roman" w:hAnsi="Times New Roman"/>
                <w:kern w:val="0"/>
                <w:sz w:val="18"/>
                <w:szCs w:val="18"/>
              </w:rPr>
            </w:pPr>
          </w:p>
        </w:tc>
        <w:tc>
          <w:tcPr>
            <w:tcW w:w="3136" w:type="dxa"/>
            <w:shd w:val="clear" w:color="auto" w:fill="auto"/>
            <w:noWrap w:val="0"/>
            <w:vAlign w:val="center"/>
          </w:tcPr>
          <w:p w14:paraId="443DA294">
            <w:pPr>
              <w:widowControl/>
              <w:jc w:val="center"/>
              <w:rPr>
                <w:rFonts w:hint="eastAsia" w:ascii="Times New Roman" w:hAnsi="Times New Roman"/>
                <w:kern w:val="0"/>
                <w:sz w:val="18"/>
                <w:szCs w:val="18"/>
              </w:rPr>
            </w:pPr>
            <w:r>
              <w:rPr>
                <w:rFonts w:hint="eastAsia" w:ascii="Times New Roman" w:hAnsi="Times New Roman"/>
                <w:kern w:val="0"/>
                <w:sz w:val="18"/>
                <w:szCs w:val="18"/>
              </w:rPr>
              <w:t>大数据与机器学习</w:t>
            </w:r>
          </w:p>
        </w:tc>
        <w:tc>
          <w:tcPr>
            <w:tcW w:w="564" w:type="dxa"/>
            <w:shd w:val="clear" w:color="auto" w:fill="auto"/>
            <w:noWrap w:val="0"/>
            <w:vAlign w:val="center"/>
          </w:tcPr>
          <w:p w14:paraId="3FDF2EF8">
            <w:pPr>
              <w:widowControl/>
              <w:jc w:val="center"/>
              <w:rPr>
                <w:rFonts w:ascii="Times New Roman" w:hAnsi="Times New Roman"/>
                <w:kern w:val="0"/>
                <w:sz w:val="18"/>
                <w:szCs w:val="18"/>
              </w:rPr>
            </w:pPr>
            <w:r>
              <w:rPr>
                <w:rFonts w:ascii="Times New Roman" w:hAnsi="Times New Roman"/>
                <w:kern w:val="0"/>
                <w:sz w:val="18"/>
                <w:szCs w:val="18"/>
              </w:rPr>
              <w:t>2</w:t>
            </w:r>
          </w:p>
        </w:tc>
        <w:tc>
          <w:tcPr>
            <w:tcW w:w="2564" w:type="dxa"/>
            <w:shd w:val="clear" w:color="auto" w:fill="auto"/>
            <w:noWrap w:val="0"/>
            <w:vAlign w:val="top"/>
          </w:tcPr>
          <w:p w14:paraId="2EBE776D">
            <w:pPr>
              <w:jc w:val="center"/>
              <w:rPr>
                <w:rFonts w:ascii="Times New Roman" w:hAnsi="Times New Roman"/>
              </w:rPr>
            </w:pPr>
            <w:r>
              <w:rPr>
                <w:rFonts w:ascii="Times New Roman" w:hAnsi="Times New Roman"/>
                <w:kern w:val="0"/>
                <w:sz w:val="18"/>
                <w:szCs w:val="18"/>
              </w:rPr>
              <w:t>信息管理</w:t>
            </w:r>
            <w:r>
              <w:rPr>
                <w:rFonts w:hint="eastAsia" w:ascii="Times New Roman" w:hAnsi="Times New Roman"/>
                <w:kern w:val="0"/>
                <w:sz w:val="18"/>
                <w:szCs w:val="18"/>
              </w:rPr>
              <w:t>与数学</w:t>
            </w:r>
            <w:r>
              <w:rPr>
                <w:rFonts w:ascii="Times New Roman" w:hAnsi="Times New Roman"/>
                <w:kern w:val="0"/>
                <w:sz w:val="18"/>
                <w:szCs w:val="18"/>
              </w:rPr>
              <w:t>学院</w:t>
            </w:r>
          </w:p>
        </w:tc>
      </w:tr>
    </w:tbl>
    <w:p w14:paraId="4D437798">
      <w:pPr>
        <w:adjustRightInd w:val="0"/>
        <w:snapToGrid w:val="0"/>
        <w:spacing w:line="360" w:lineRule="auto"/>
        <w:ind w:firstLine="180" w:firstLineChars="100"/>
        <w:rPr>
          <w:sz w:val="18"/>
          <w:szCs w:val="18"/>
        </w:rPr>
      </w:pPr>
      <w:r>
        <w:rPr>
          <w:rFonts w:hint="eastAsia"/>
          <w:sz w:val="18"/>
          <w:szCs w:val="18"/>
        </w:rPr>
        <w:t>（注：全国统考综合水平测试包括应用统计学、经济学、高级管理学、企业战略管理四门课）</w:t>
      </w:r>
    </w:p>
    <w:p w14:paraId="2D366C5E">
      <w:pPr>
        <w:numPr>
          <w:ilvl w:val="0"/>
          <w:numId w:val="0"/>
        </w:numPr>
        <w:ind w:leftChars="0"/>
        <w:rPr>
          <w:rStyle w:val="6"/>
          <w:rFonts w:hint="default" w:ascii="宋体" w:hAnsi="宋体" w:eastAsia="宋体" w:cs="宋体"/>
          <w:i w:val="0"/>
          <w:iCs w:val="0"/>
          <w:caps w:val="0"/>
          <w:color w:val="333333"/>
          <w:spacing w:val="0"/>
          <w:sz w:val="16"/>
          <w:szCs w:val="16"/>
          <w:shd w:val="clear" w:color="auto" w:fill="FFFFFF"/>
          <w:lang w:val="en-US" w:eastAsia="zh-CN"/>
        </w:rPr>
      </w:pPr>
    </w:p>
    <w:p w14:paraId="70008461">
      <w:pPr>
        <w:pStyle w:val="3"/>
        <w:keepNext w:val="0"/>
        <w:keepLines w:val="0"/>
        <w:widowControl/>
        <w:suppressLineNumbers w:val="0"/>
        <w:shd w:val="clear" w:color="auto" w:fill="FFFFFF"/>
        <w:spacing w:before="100" w:beforeAutospacing="0" w:after="100" w:afterAutospacing="0"/>
        <w:ind w:left="0" w:firstLine="0"/>
        <w:rPr>
          <w:rFonts w:ascii="Times New Roman" w:hAnsi="Times New Roman" w:eastAsia="黑体" w:cs="宋体"/>
          <w:bCs/>
          <w:kern w:val="2"/>
          <w:sz w:val="24"/>
          <w:szCs w:val="24"/>
          <w:lang w:val="en-US" w:bidi="ar-SA"/>
        </w:rPr>
      </w:pPr>
      <w:r>
        <w:rPr>
          <w:rFonts w:hint="eastAsia" w:ascii="Times New Roman" w:hAnsi="Times New Roman" w:eastAsia="黑体" w:cs="宋体"/>
          <w:bCs/>
          <w:kern w:val="2"/>
          <w:sz w:val="24"/>
          <w:szCs w:val="24"/>
          <w:lang w:val="en-US" w:eastAsia="zh-CN" w:bidi="ar-SA"/>
        </w:rPr>
        <w:t>八、</w:t>
      </w:r>
      <w:r>
        <w:rPr>
          <w:rFonts w:hint="eastAsia" w:ascii="Times New Roman" w:hAnsi="Times New Roman" w:eastAsia="黑体" w:cs="宋体"/>
          <w:bCs/>
          <w:kern w:val="2"/>
          <w:sz w:val="24"/>
          <w:szCs w:val="24"/>
          <w:lang w:val="en-US" w:bidi="ar-SA"/>
        </w:rPr>
        <w:t>缴纳学费</w:t>
      </w:r>
    </w:p>
    <w:p w14:paraId="7B8E50F5">
      <w:pPr>
        <w:pStyle w:val="3"/>
        <w:keepNext w:val="0"/>
        <w:keepLines w:val="0"/>
        <w:widowControl/>
        <w:suppressLineNumbers w:val="0"/>
        <w:shd w:val="clear" w:color="auto" w:fill="FFFFFF"/>
        <w:spacing w:line="240" w:lineRule="atLeast"/>
        <w:ind w:left="0" w:firstLine="280"/>
        <w:jc w:val="both"/>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根据我校下发的《江西财经大学同等学力人员申请硕士学位收入管理办法》的通知（江财财务字【2022】4号）文件精神，从即日起，学费缴纳分两段制进行，即课程学习阶段和撰写学位论文及答辩阶段。课程学习阶段学费为</w:t>
      </w:r>
      <w:r>
        <w:rPr>
          <w:rFonts w:hint="default" w:ascii="Times New Roman" w:hAnsi="Times New Roman" w:eastAsia="仿宋_GB2312" w:cs="宋体"/>
          <w:bCs/>
          <w:kern w:val="2"/>
          <w:sz w:val="24"/>
          <w:szCs w:val="24"/>
          <w:lang w:val="en-US" w:eastAsia="zh-CN" w:bidi="ar-SA"/>
        </w:rPr>
        <w:t>15000</w:t>
      </w:r>
      <w:r>
        <w:rPr>
          <w:rFonts w:hint="eastAsia" w:ascii="Times New Roman" w:hAnsi="Times New Roman" w:eastAsia="仿宋_GB2312" w:cs="宋体"/>
          <w:bCs/>
          <w:kern w:val="2"/>
          <w:sz w:val="24"/>
          <w:szCs w:val="24"/>
          <w:lang w:val="en-US" w:eastAsia="zh-CN" w:bidi="ar-SA"/>
        </w:rPr>
        <w:t>元，教材、资料自理。撰写学位论文及答辩阶段学费为8000元，各项收费实际以学校相关规定为准。学生缴纳相关费用后，可获得学校财务处开具的电子缴费发票。</w:t>
      </w:r>
    </w:p>
    <w:p w14:paraId="06E215FC">
      <w:pPr>
        <w:pStyle w:val="3"/>
        <w:keepNext w:val="0"/>
        <w:keepLines w:val="0"/>
        <w:widowControl/>
        <w:suppressLineNumbers w:val="0"/>
        <w:shd w:val="clear" w:color="auto" w:fill="FFFFFF"/>
        <w:spacing w:before="100" w:beforeAutospacing="0" w:after="100" w:afterAutospacing="0"/>
        <w:ind w:left="0" w:firstLine="0"/>
        <w:jc w:val="left"/>
        <w:rPr>
          <w:rFonts w:hint="eastAsia" w:ascii="Times New Roman" w:hAnsi="Times New Roman" w:eastAsia="黑体" w:cs="宋体"/>
          <w:bCs/>
          <w:kern w:val="2"/>
          <w:sz w:val="24"/>
          <w:szCs w:val="24"/>
          <w:lang w:val="en-US" w:eastAsia="zh-CN" w:bidi="ar-SA"/>
        </w:rPr>
      </w:pPr>
      <w:r>
        <w:rPr>
          <w:rFonts w:hint="eastAsia" w:ascii="Times New Roman" w:hAnsi="Times New Roman" w:eastAsia="黑体" w:cs="宋体"/>
          <w:bCs/>
          <w:kern w:val="2"/>
          <w:sz w:val="24"/>
          <w:szCs w:val="24"/>
          <w:lang w:val="en-US" w:eastAsia="zh-CN" w:bidi="ar-SA"/>
        </w:rPr>
        <w:t>九、报名流程</w:t>
      </w:r>
    </w:p>
    <w:p w14:paraId="01EC9FA5">
      <w:pPr>
        <w:pStyle w:val="3"/>
        <w:keepNext w:val="0"/>
        <w:keepLines w:val="0"/>
        <w:widowControl/>
        <w:suppressLineNumbers w:val="0"/>
        <w:shd w:val="clear" w:color="auto" w:fill="FFFFFF"/>
        <w:spacing w:line="240" w:lineRule="atLeast"/>
        <w:ind w:left="0" w:firstLine="280"/>
        <w:jc w:val="both"/>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报名时需提交以下材料：</w:t>
      </w:r>
    </w:p>
    <w:p w14:paraId="50C3BD73">
      <w:pPr>
        <w:pStyle w:val="3"/>
        <w:keepNext w:val="0"/>
        <w:keepLines w:val="0"/>
        <w:widowControl/>
        <w:suppressLineNumbers w:val="0"/>
        <w:shd w:val="clear" w:color="auto" w:fill="FFFFFF"/>
        <w:spacing w:line="240" w:lineRule="atLeast"/>
        <w:ind w:left="0" w:firstLine="280"/>
        <w:jc w:val="both"/>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1．报名表</w:t>
      </w:r>
    </w:p>
    <w:p w14:paraId="11D7747D">
      <w:pPr>
        <w:pStyle w:val="3"/>
        <w:keepNext w:val="0"/>
        <w:keepLines w:val="0"/>
        <w:widowControl/>
        <w:suppressLineNumbers w:val="0"/>
        <w:shd w:val="clear" w:color="auto" w:fill="FFFFFF"/>
        <w:spacing w:line="240" w:lineRule="atLeast"/>
        <w:ind w:left="0" w:firstLine="280"/>
        <w:jc w:val="both"/>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2．本人身份证正、反面电子稿；</w:t>
      </w:r>
    </w:p>
    <w:p w14:paraId="036DD31C">
      <w:pPr>
        <w:pStyle w:val="3"/>
        <w:keepNext w:val="0"/>
        <w:keepLines w:val="0"/>
        <w:widowControl/>
        <w:suppressLineNumbers w:val="0"/>
        <w:shd w:val="clear" w:color="auto" w:fill="FFFFFF"/>
        <w:spacing w:line="240" w:lineRule="atLeast"/>
        <w:ind w:left="0" w:firstLine="280"/>
        <w:jc w:val="both"/>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3．本人学历毕业证书和学位证书电子稿；</w:t>
      </w:r>
    </w:p>
    <w:p w14:paraId="43B9E448">
      <w:pPr>
        <w:pStyle w:val="3"/>
        <w:keepNext w:val="0"/>
        <w:keepLines w:val="0"/>
        <w:widowControl/>
        <w:suppressLineNumbers w:val="0"/>
        <w:shd w:val="clear" w:color="auto" w:fill="FFFFFF"/>
        <w:spacing w:line="240" w:lineRule="atLeast"/>
        <w:ind w:left="0" w:firstLine="280"/>
        <w:jc w:val="both"/>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4．本人近期免冠1寸蓝底彩照；</w:t>
      </w:r>
    </w:p>
    <w:p w14:paraId="3F077FCF">
      <w:pPr>
        <w:pStyle w:val="3"/>
        <w:keepNext w:val="0"/>
        <w:keepLines w:val="0"/>
        <w:widowControl/>
        <w:suppressLineNumbers w:val="0"/>
        <w:shd w:val="clear" w:color="auto" w:fill="FFFFFF"/>
        <w:spacing w:line="240" w:lineRule="atLeast"/>
        <w:ind w:left="0" w:firstLine="280"/>
        <w:jc w:val="both"/>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5．告知书。</w:t>
      </w:r>
    </w:p>
    <w:p w14:paraId="489D76E4">
      <w:pPr>
        <w:bidi w:val="0"/>
        <w:rPr>
          <w:rFonts w:hint="default" w:ascii="仿宋" w:hAnsi="仿宋" w:eastAsia="仿宋" w:cs="仿宋"/>
          <w:sz w:val="24"/>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C52F1A"/>
    <w:rsid w:val="0ED96FBA"/>
    <w:rsid w:val="10384CFC"/>
    <w:rsid w:val="150F1EAB"/>
    <w:rsid w:val="1B5C620C"/>
    <w:rsid w:val="2A8F2436"/>
    <w:rsid w:val="43B22B37"/>
    <w:rsid w:val="460261E6"/>
    <w:rsid w:val="609D5BF6"/>
    <w:rsid w:val="69E574B5"/>
    <w:rsid w:val="749111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3"/>
    <w:basedOn w:val="1"/>
    <w:next w:val="1"/>
    <w:qFormat/>
    <w:uiPriority w:val="0"/>
    <w:pPr>
      <w:keepNext/>
      <w:keepLines/>
      <w:spacing w:before="260" w:beforeAutospacing="0" w:after="260" w:afterAutospacing="0" w:line="413" w:lineRule="auto"/>
      <w:outlineLvl w:val="2"/>
    </w:pPr>
    <w:rPr>
      <w:b/>
      <w:sz w:val="32"/>
    </w:rPr>
  </w:style>
  <w:style w:type="character" w:default="1" w:styleId="5">
    <w:name w:val="Default Paragraph Font"/>
    <w:qFormat/>
    <w:uiPriority w:val="0"/>
  </w:style>
  <w:style w:type="table" w:default="1" w:styleId="4">
    <w:name w:val="Normal Table"/>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rPr>
  </w:style>
  <w:style w:type="character" w:styleId="6">
    <w:name w:val="Strong"/>
    <w:basedOn w:val="5"/>
    <w:qFormat/>
    <w:uiPriority w:val="0"/>
    <w:rPr>
      <w:b/>
    </w:rPr>
  </w:style>
  <w:style w:type="paragraph" w:customStyle="1" w:styleId="7">
    <w:name w:val="_Style 1"/>
    <w:basedOn w:val="1"/>
    <w:qFormat/>
    <w:uiPriority w:val="34"/>
    <w:pPr>
      <w:ind w:firstLine="420" w:firstLineChars="200"/>
    </w:p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2592</Words>
  <Characters>2643</Characters>
  <Paragraphs>271</Paragraphs>
  <TotalTime>2</TotalTime>
  <ScaleCrop>false</ScaleCrop>
  <LinksUpToDate>false</LinksUpToDate>
  <CharactersWithSpaces>2649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2024-12-17T05:42:00Z</dcterms:created>
  <dc:creator>CP3</dc:creator>
  <cp:lastModifiedBy>人事尹老师</cp:lastModifiedBy>
  <dcterms:modified xsi:type="dcterms:W3CDTF">2025-08-20T01:44:18Z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C1BFDD39F055472F9D1C4F56DA920B0D_13</vt:lpwstr>
  </property>
  <property fmtid="{D5CDD505-2E9C-101B-9397-08002B2CF9AE}" pid="4" name="KSOTemplateDocerSaveRecord">
    <vt:lpwstr>eyJoZGlkIjoiYjM3NzQzZWVkNmFmNThmMDQyYWRhYjg2ZDJmNDhiYmEiLCJ1c2VySWQiOiIxMjk3NjkzNDEyIn0=</vt:lpwstr>
  </property>
</Properties>
</file>