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A05ED">
      <w:pPr>
        <w:jc w:val="center"/>
        <w:rPr>
          <w:rFonts w:hint="default" w:eastAsia="宋体"/>
          <w:b/>
          <w:bCs/>
          <w:sz w:val="28"/>
          <w:szCs w:val="36"/>
          <w:lang w:val="en-US" w:eastAsia="zh-CN"/>
        </w:rPr>
      </w:pPr>
      <w:r>
        <w:rPr>
          <w:rFonts w:hint="eastAsia"/>
          <w:b/>
          <w:bCs/>
          <w:sz w:val="28"/>
          <w:szCs w:val="36"/>
          <w:lang w:val="en-US" w:eastAsia="zh-CN"/>
        </w:rPr>
        <w:t>江西财经大学财政学</w:t>
      </w:r>
      <w:r>
        <w:rPr>
          <w:rFonts w:hint="eastAsia"/>
          <w:b/>
          <w:bCs/>
          <w:sz w:val="28"/>
          <w:szCs w:val="36"/>
        </w:rPr>
        <w:t>同等学力</w:t>
      </w:r>
      <w:r>
        <w:rPr>
          <w:rFonts w:hint="eastAsia"/>
          <w:b/>
          <w:bCs/>
          <w:sz w:val="28"/>
          <w:szCs w:val="36"/>
          <w:lang w:val="en-US" w:eastAsia="zh-CN"/>
        </w:rPr>
        <w:t>高级研修班招生简章</w:t>
      </w:r>
    </w:p>
    <w:p w14:paraId="114A2CA1">
      <w:pPr>
        <w:rPr>
          <w:rFonts w:hint="eastAsia"/>
          <w:lang w:val="en-US" w:eastAsia="zh-CN"/>
        </w:rPr>
      </w:pPr>
    </w:p>
    <w:p w14:paraId="11F6785F">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一、院校简介</w:t>
      </w:r>
    </w:p>
    <w:p w14:paraId="6B52E1A6">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江西财经大学是一所财政部、教育部、江西省人民政府共建，以经济、管理类学科为主，法、工、文、理、艺术等学科协调发展的高等财经学府。公开资料显示，学校位居中国CFO大学排行榜第5名，中国财经类大学排行榜第7名，国家一流本科专业精度排行榜第15名，中国造富大学排行榜第16名，中国高管校友大学排行榜第30名，中国大学校友捐赠排行榜</w:t>
      </w:r>
      <w:bookmarkStart w:id="0" w:name="_GoBack"/>
      <w:bookmarkEnd w:id="0"/>
      <w:r>
        <w:rPr>
          <w:rFonts w:hint="eastAsia" w:ascii="Times New Roman" w:hAnsi="Times New Roman" w:eastAsia="仿宋_GB2312"/>
          <w:bCs/>
          <w:sz w:val="24"/>
          <w:szCs w:val="24"/>
          <w:lang w:val="en-US" w:eastAsia="zh-CN"/>
        </w:rPr>
        <w:t>第47名，中国高校毕业生薪酬指数排行榜第71名。</w:t>
      </w:r>
    </w:p>
    <w:p w14:paraId="642753B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rPr>
      </w:pPr>
      <w:r>
        <w:rPr>
          <w:rFonts w:hint="eastAsia" w:ascii="Times New Roman" w:hAnsi="Times New Roman" w:eastAsia="仿宋_GB2312"/>
          <w:bCs/>
          <w:sz w:val="24"/>
          <w:szCs w:val="24"/>
        </w:rPr>
        <w:t>​财税学科是江西财经大学办学历史悠久、特色明显、办学层次齐备的人才培养学科，源于1923年成立的江西省立商业学校财政信贷科。1978年财政学专业是江西财经学院复校后第一批开办的四个专业班之一；先后历经财政信贷系（1979）、财政金融系（1980）、财政税务系（1988）、财政金融学院（1998）、公共管理学院（2003）、财税与公共管理学院（2009）；2024年12月设立财政税务学院。1978年、1985年、2003分别获批本科、硕士、博士学位授予单位。学院下设“两系三中心一馆”，即：财政系、税务系；财税研究中心、预算管理与监督研究中心和中国税票研究中心；中国税收票证博物馆。“百年根基托举未来，创新沃土孕育卓越”，学院秉承“信敏廉毅”校训，以“数字化、绿色化、国际化”引领研究型学院建设，努力打造“全国红色财经研究高地、区域财税改革重要智库、预算数字管理示范平台”。</w:t>
      </w:r>
    </w:p>
    <w:p w14:paraId="6B20A61B">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p>
    <w:p w14:paraId="6EB63CC0">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二、专业方向与培养计划</w:t>
      </w:r>
    </w:p>
    <w:p w14:paraId="03362B4D">
      <w:pPr>
        <w:pStyle w:val="3"/>
        <w:spacing w:before="87" w:line="369" w:lineRule="exact"/>
        <w:ind w:left="615"/>
      </w:pPr>
      <w:r>
        <w:rPr>
          <w:b/>
          <w:bCs/>
          <w:spacing w:val="-7"/>
          <w:position w:val="4"/>
        </w:rPr>
        <w:t>财政学（经济类</w:t>
      </w:r>
      <w:r>
        <w:rPr>
          <w:b/>
          <w:bCs/>
          <w:spacing w:val="-14"/>
          <w:position w:val="4"/>
        </w:rPr>
        <w:t>）：</w:t>
      </w:r>
      <w:r>
        <w:rPr>
          <w:b/>
          <w:bCs/>
          <w:spacing w:val="-7"/>
          <w:position w:val="4"/>
        </w:rPr>
        <w:t>财政理论与政策</w:t>
      </w:r>
      <w:r>
        <w:rPr>
          <w:spacing w:val="-36"/>
          <w:position w:val="4"/>
        </w:rPr>
        <w:t xml:space="preserve"> </w:t>
      </w:r>
      <w:r>
        <w:rPr>
          <w:b/>
          <w:bCs/>
          <w:spacing w:val="-7"/>
          <w:position w:val="4"/>
        </w:rPr>
        <w:t>、税收与收费理论</w:t>
      </w:r>
      <w:r>
        <w:rPr>
          <w:spacing w:val="-35"/>
          <w:position w:val="4"/>
        </w:rPr>
        <w:t xml:space="preserve"> </w:t>
      </w:r>
      <w:r>
        <w:rPr>
          <w:b/>
          <w:bCs/>
          <w:spacing w:val="-7"/>
          <w:position w:val="4"/>
        </w:rPr>
        <w:t>、公共项目投资管</w:t>
      </w:r>
    </w:p>
    <w:p w14:paraId="42A30B0E">
      <w:pPr>
        <w:pStyle w:val="3"/>
        <w:spacing w:before="81" w:line="183" w:lineRule="auto"/>
        <w:ind w:left="134"/>
      </w:pPr>
      <w:r>
        <w:rPr>
          <w:b/>
          <w:bCs/>
          <w:spacing w:val="-10"/>
        </w:rPr>
        <w:t>理</w:t>
      </w:r>
      <w:r>
        <w:rPr>
          <w:spacing w:val="-34"/>
        </w:rPr>
        <w:t xml:space="preserve"> </w:t>
      </w:r>
      <w:r>
        <w:rPr>
          <w:b/>
          <w:bCs/>
          <w:spacing w:val="-10"/>
        </w:rPr>
        <w:t>、财政监督</w:t>
      </w:r>
    </w:p>
    <w:p w14:paraId="102B80BC">
      <w:pPr>
        <w:rPr>
          <w:rFonts w:ascii="Arial"/>
          <w:sz w:val="21"/>
        </w:rPr>
      </w:pPr>
    </w:p>
    <w:tbl>
      <w:tblPr>
        <w:tblW w:w="70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25"/>
        <w:gridCol w:w="1529"/>
        <w:gridCol w:w="3638"/>
        <w:gridCol w:w="925"/>
      </w:tblGrid>
      <w:tr w14:paraId="11FCC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tblHeader/>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195110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0"/>
                <w:szCs w:val="20"/>
                <w:u w:val="none"/>
              </w:rPr>
            </w:pPr>
            <w:r>
              <w:rPr>
                <w:rFonts w:hint="eastAsia" w:ascii="宋体" w:hAnsi="宋体" w:eastAsia="宋体" w:cs="宋体"/>
                <w:b/>
                <w:i w:val="0"/>
                <w:iCs w:val="0"/>
                <w:color w:val="000000"/>
                <w:kern w:val="0"/>
                <w:sz w:val="20"/>
                <w:szCs w:val="20"/>
                <w:u w:val="none"/>
                <w:bdr w:val="none" w:color="auto" w:sz="0" w:space="0"/>
                <w:lang w:val="en-US" w:eastAsia="zh-CN" w:bidi="ar"/>
              </w:rPr>
              <w:t>序号</w:t>
            </w:r>
          </w:p>
        </w:tc>
        <w:tc>
          <w:tcPr>
            <w:tcW w:w="1529" w:type="dxa"/>
            <w:tcBorders>
              <w:top w:val="single" w:color="000000" w:sz="4" w:space="0"/>
              <w:left w:val="single" w:color="000000" w:sz="4" w:space="0"/>
              <w:bottom w:val="single" w:color="000000" w:sz="4" w:space="0"/>
              <w:right w:val="single" w:color="000000" w:sz="4" w:space="0"/>
            </w:tcBorders>
            <w:shd w:val="clear"/>
            <w:vAlign w:val="center"/>
          </w:tcPr>
          <w:p w14:paraId="67EA86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0"/>
                <w:szCs w:val="20"/>
                <w:u w:val="none"/>
              </w:rPr>
            </w:pPr>
            <w:r>
              <w:rPr>
                <w:rFonts w:hint="eastAsia" w:ascii="宋体" w:hAnsi="宋体" w:eastAsia="宋体" w:cs="宋体"/>
                <w:b/>
                <w:i w:val="0"/>
                <w:iCs w:val="0"/>
                <w:color w:val="000000"/>
                <w:kern w:val="0"/>
                <w:sz w:val="20"/>
                <w:szCs w:val="20"/>
                <w:u w:val="none"/>
                <w:bdr w:val="none" w:color="auto" w:sz="0" w:space="0"/>
                <w:lang w:val="en-US" w:eastAsia="zh-CN" w:bidi="ar"/>
              </w:rPr>
              <w:t>课程类别</w:t>
            </w: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3774C5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0"/>
                <w:szCs w:val="20"/>
                <w:u w:val="none"/>
              </w:rPr>
            </w:pPr>
            <w:r>
              <w:rPr>
                <w:rFonts w:hint="eastAsia" w:ascii="宋体" w:hAnsi="宋体" w:eastAsia="宋体" w:cs="宋体"/>
                <w:b/>
                <w:i w:val="0"/>
                <w:iCs w:val="0"/>
                <w:color w:val="000000"/>
                <w:kern w:val="0"/>
                <w:sz w:val="20"/>
                <w:szCs w:val="20"/>
                <w:u w:val="none"/>
                <w:bdr w:val="none" w:color="auto" w:sz="0" w:space="0"/>
                <w:lang w:val="en-US" w:eastAsia="zh-CN" w:bidi="ar"/>
              </w:rPr>
              <w:t>课程</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0F4040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0"/>
                <w:szCs w:val="20"/>
                <w:u w:val="none"/>
              </w:rPr>
            </w:pPr>
            <w:r>
              <w:rPr>
                <w:rFonts w:hint="eastAsia" w:ascii="宋体" w:hAnsi="宋体" w:eastAsia="宋体" w:cs="宋体"/>
                <w:b/>
                <w:i w:val="0"/>
                <w:iCs w:val="0"/>
                <w:color w:val="000000"/>
                <w:kern w:val="0"/>
                <w:sz w:val="20"/>
                <w:szCs w:val="20"/>
                <w:u w:val="none"/>
                <w:bdr w:val="none" w:color="auto" w:sz="0" w:space="0"/>
                <w:lang w:val="en-US" w:eastAsia="zh-CN" w:bidi="ar"/>
              </w:rPr>
              <w:t>学分</w:t>
            </w:r>
          </w:p>
        </w:tc>
      </w:tr>
      <w:tr w14:paraId="3EA92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1CD9E8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529" w:type="dxa"/>
            <w:vMerge w:val="restart"/>
            <w:tcBorders>
              <w:top w:val="single" w:color="000000" w:sz="4" w:space="0"/>
              <w:left w:val="single" w:color="000000" w:sz="4" w:space="0"/>
              <w:right w:val="single" w:color="000000" w:sz="4" w:space="0"/>
            </w:tcBorders>
            <w:shd w:val="clear"/>
            <w:vAlign w:val="center"/>
          </w:tcPr>
          <w:p w14:paraId="18A351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公共课</w:t>
            </w: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6B166E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社会主义建设理论与实践</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085FA7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r>
      <w:tr w14:paraId="6BD04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041667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1529" w:type="dxa"/>
            <w:vMerge w:val="continue"/>
            <w:tcBorders>
              <w:left w:val="single" w:color="000000" w:sz="4" w:space="0"/>
              <w:bottom w:val="single" w:color="000000" w:sz="4" w:space="0"/>
              <w:right w:val="single" w:color="000000" w:sz="4" w:space="0"/>
            </w:tcBorders>
            <w:shd w:val="clear"/>
            <w:vAlign w:val="center"/>
          </w:tcPr>
          <w:p w14:paraId="459625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7E9354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公共外语</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6877B1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r>
      <w:tr w14:paraId="1EFB9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7CF20C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1529" w:type="dxa"/>
            <w:vMerge w:val="restart"/>
            <w:tcBorders>
              <w:top w:val="single" w:color="000000" w:sz="4" w:space="0"/>
              <w:left w:val="single" w:color="000000" w:sz="4" w:space="0"/>
              <w:right w:val="single" w:color="000000" w:sz="4" w:space="0"/>
            </w:tcBorders>
            <w:shd w:val="clear"/>
            <w:vAlign w:val="center"/>
          </w:tcPr>
          <w:p w14:paraId="35CF9F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必修课</w:t>
            </w: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052B94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财政学</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4EA600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r>
      <w:tr w14:paraId="10F9B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16C960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1529" w:type="dxa"/>
            <w:vMerge w:val="continue"/>
            <w:tcBorders>
              <w:left w:val="single" w:color="000000" w:sz="4" w:space="0"/>
              <w:right w:val="single" w:color="000000" w:sz="4" w:space="0"/>
            </w:tcBorders>
            <w:shd w:val="clear"/>
            <w:vAlign w:val="center"/>
          </w:tcPr>
          <w:p w14:paraId="580754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51955E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财税定量分析</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3BCE32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21586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2A9724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529" w:type="dxa"/>
            <w:vMerge w:val="continue"/>
            <w:tcBorders>
              <w:left w:val="single" w:color="000000" w:sz="4" w:space="0"/>
              <w:right w:val="single" w:color="000000" w:sz="4" w:space="0"/>
            </w:tcBorders>
            <w:shd w:val="clear"/>
            <w:vAlign w:val="center"/>
          </w:tcPr>
          <w:p w14:paraId="2E74DF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78B8AE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财税制度分析</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192438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1BC2F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5F47E5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1529" w:type="dxa"/>
            <w:vMerge w:val="continue"/>
            <w:tcBorders>
              <w:left w:val="single" w:color="000000" w:sz="4" w:space="0"/>
              <w:right w:val="single" w:color="000000" w:sz="4" w:space="0"/>
            </w:tcBorders>
            <w:shd w:val="clear"/>
            <w:vAlign w:val="center"/>
          </w:tcPr>
          <w:p w14:paraId="5A8D5C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442242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公共部门预算与管理</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4A8FD1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4F24E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192F66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1529" w:type="dxa"/>
            <w:vMerge w:val="continue"/>
            <w:tcBorders>
              <w:left w:val="single" w:color="000000" w:sz="4" w:space="0"/>
              <w:bottom w:val="single" w:color="000000" w:sz="4" w:space="0"/>
              <w:right w:val="single" w:color="000000" w:sz="4" w:space="0"/>
            </w:tcBorders>
            <w:shd w:val="clear"/>
            <w:vAlign w:val="center"/>
          </w:tcPr>
          <w:p w14:paraId="289F87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32AF09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税收理论与现行税制</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7F16BA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r>
      <w:tr w14:paraId="7FB42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398AC0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1529" w:type="dxa"/>
            <w:vMerge w:val="restart"/>
            <w:tcBorders>
              <w:top w:val="single" w:color="000000" w:sz="4" w:space="0"/>
              <w:left w:val="single" w:color="000000" w:sz="4" w:space="0"/>
              <w:right w:val="single" w:color="000000" w:sz="4" w:space="0"/>
            </w:tcBorders>
            <w:shd w:val="clear"/>
            <w:vAlign w:val="center"/>
          </w:tcPr>
          <w:p w14:paraId="782BBB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选修课</w:t>
            </w: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7D6446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中国财税思想史</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186712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5F207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2A8BDA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1529" w:type="dxa"/>
            <w:vMerge w:val="continue"/>
            <w:tcBorders>
              <w:left w:val="single" w:color="000000" w:sz="4" w:space="0"/>
              <w:right w:val="single" w:color="000000" w:sz="4" w:space="0"/>
            </w:tcBorders>
            <w:shd w:val="clear"/>
            <w:vAlign w:val="center"/>
          </w:tcPr>
          <w:p w14:paraId="729C2A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130779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公共支出学</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23EE48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46B63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09C105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1529" w:type="dxa"/>
            <w:vMerge w:val="continue"/>
            <w:tcBorders>
              <w:left w:val="single" w:color="000000" w:sz="4" w:space="0"/>
              <w:right w:val="single" w:color="000000" w:sz="4" w:space="0"/>
            </w:tcBorders>
            <w:shd w:val="clear"/>
            <w:vAlign w:val="center"/>
          </w:tcPr>
          <w:p w14:paraId="1A43A3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65692A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资产价值评估</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6DFA9D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3F14A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6"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6B951F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1529" w:type="dxa"/>
            <w:vMerge w:val="continue"/>
            <w:tcBorders>
              <w:left w:val="single" w:color="000000" w:sz="4" w:space="0"/>
              <w:right w:val="single" w:color="000000" w:sz="4" w:space="0"/>
            </w:tcBorders>
            <w:shd w:val="clear"/>
            <w:vAlign w:val="center"/>
          </w:tcPr>
          <w:p w14:paraId="531CAB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67C2B2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企业税收筹划</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7561D8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r w14:paraId="44F09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925" w:type="dxa"/>
            <w:tcBorders>
              <w:top w:val="single" w:color="000000" w:sz="4" w:space="0"/>
              <w:left w:val="single" w:color="000000" w:sz="4" w:space="0"/>
              <w:bottom w:val="single" w:color="000000" w:sz="4" w:space="0"/>
              <w:right w:val="single" w:color="000000" w:sz="4" w:space="0"/>
            </w:tcBorders>
            <w:shd w:val="clear"/>
            <w:vAlign w:val="center"/>
          </w:tcPr>
          <w:p w14:paraId="707EF0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1529" w:type="dxa"/>
            <w:vMerge w:val="continue"/>
            <w:tcBorders>
              <w:left w:val="single" w:color="000000" w:sz="4" w:space="0"/>
              <w:bottom w:val="single" w:color="000000" w:sz="4" w:space="0"/>
              <w:right w:val="single" w:color="000000" w:sz="4" w:space="0"/>
            </w:tcBorders>
            <w:shd w:val="clear"/>
            <w:vAlign w:val="center"/>
          </w:tcPr>
          <w:p w14:paraId="285071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p>
        </w:tc>
        <w:tc>
          <w:tcPr>
            <w:tcW w:w="3638" w:type="dxa"/>
            <w:tcBorders>
              <w:top w:val="single" w:color="000000" w:sz="4" w:space="0"/>
              <w:left w:val="single" w:color="000000" w:sz="4" w:space="0"/>
              <w:bottom w:val="single" w:color="000000" w:sz="4" w:space="0"/>
              <w:right w:val="single" w:color="000000" w:sz="4" w:space="0"/>
            </w:tcBorders>
            <w:shd w:val="clear"/>
            <w:vAlign w:val="center"/>
          </w:tcPr>
          <w:p w14:paraId="527013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公共项目投资与管理</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14:paraId="017248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r>
    </w:tbl>
    <w:p w14:paraId="396F424E">
      <w:pPr>
        <w:rPr>
          <w:rFonts w:ascii="Arial" w:hAnsi="Arial" w:eastAsia="Arial" w:cs="Arial"/>
          <w:sz w:val="21"/>
          <w:szCs w:val="21"/>
        </w:rPr>
        <w:sectPr>
          <w:pgSz w:w="11906" w:h="16839"/>
          <w:pgMar w:top="1431" w:right="1703" w:bottom="0" w:left="1682" w:header="0" w:footer="0" w:gutter="0"/>
          <w:cols w:space="720" w:num="1"/>
        </w:sectPr>
      </w:pPr>
    </w:p>
    <w:p w14:paraId="308EF6E2">
      <w:pPr>
        <w:pStyle w:val="8"/>
        <w:spacing w:line="360" w:lineRule="exact"/>
        <w:ind w:left="0" w:leftChars="0" w:firstLine="0" w:firstLineChars="0"/>
        <w:rPr>
          <w:rFonts w:hint="eastAsia" w:ascii="Times New Roman" w:hAnsi="Times New Roman" w:eastAsia="仿宋_GB2312" w:cs="宋体"/>
          <w:b/>
          <w:bCs w:val="0"/>
          <w:kern w:val="2"/>
          <w:sz w:val="24"/>
          <w:szCs w:val="24"/>
          <w:lang w:val="en-US" w:eastAsia="zh-CN" w:bidi="ar-SA"/>
        </w:rPr>
      </w:pPr>
    </w:p>
    <w:p w14:paraId="6626DB52">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三、学位与学制</w:t>
      </w:r>
    </w:p>
    <w:p w14:paraId="498E79A1">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同等学力人员申请硕士学位分为三个阶段: 第一阶段为课程学习培养阶段（简称第一阶段），第二阶段为取得全国统一考试阶段（简称第二阶段），第三阶段为撰写学位论文及答辩阶段（简称第三阶段）。</w:t>
      </w:r>
    </w:p>
    <w:p w14:paraId="0DA41444">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自通过资格审查之日起，按学校教学进度安排，修完第一阶段的江西财经大学同等学力规定的全部课程，按要求参加课程考试，课程学习期一般为1年，采取周末网络远程/自学相结合的方式，完成学习并通过课程考试，成绩合格，颁发江西财经大学结业证书。</w:t>
      </w:r>
    </w:p>
    <w:p w14:paraId="122872B1">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获得学士学位满三年，可申请第二阶段的全国统考硕士学位外国语水平和学科综合水平考试。统考每年举行一次，3月初报名，5月下旬考试。四年内未全部通过课程和全国统一考试者，所修课程学分无效。</w:t>
      </w:r>
    </w:p>
    <w:p w14:paraId="17959322">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完成本项目研修课程学习，并通过外国语水平全国统考和学科综合水平全国统考后，进入申请硕士学位阶段。第三阶段须在通过全部课程考试（含两门全国统考科目）后的一年内提交学位论文，论文答辩在申请人提交论文后的半年内进行。</w:t>
      </w:r>
    </w:p>
    <w:p w14:paraId="1139E0BF">
      <w:pPr>
        <w:pStyle w:val="8"/>
        <w:spacing w:line="360" w:lineRule="exact"/>
        <w:ind w:firstLine="480"/>
        <w:rPr>
          <w:rFonts w:hint="eastAsia" w:ascii="Times New Roman" w:hAnsi="Times New Roman" w:eastAsia="仿宋_GB2312"/>
          <w:bCs/>
          <w:sz w:val="24"/>
          <w:szCs w:val="24"/>
        </w:rPr>
      </w:pPr>
      <w:r>
        <w:rPr>
          <w:rFonts w:hint="eastAsia" w:ascii="仿宋" w:hAnsi="仿宋" w:eastAsia="仿宋"/>
          <w:sz w:val="24"/>
          <w:szCs w:val="24"/>
        </w:rPr>
        <w:t>本专业学位</w:t>
      </w:r>
      <w:r>
        <w:rPr>
          <w:rFonts w:hint="eastAsia" w:ascii="Times New Roman" w:hAnsi="Times New Roman" w:eastAsia="仿宋_GB2312"/>
          <w:bCs/>
          <w:sz w:val="24"/>
          <w:szCs w:val="24"/>
        </w:rPr>
        <w:t>研究生学制为</w:t>
      </w:r>
      <w:r>
        <w:rPr>
          <w:rFonts w:hint="eastAsia" w:ascii="Times New Roman" w:hAnsi="Times New Roman" w:eastAsia="仿宋_GB2312"/>
          <w:bCs/>
          <w:sz w:val="24"/>
          <w:szCs w:val="24"/>
          <w:highlight w:val="none"/>
          <w:lang w:val="en-US" w:eastAsia="zh-CN"/>
        </w:rPr>
        <w:t>2.5</w:t>
      </w:r>
      <w:r>
        <w:rPr>
          <w:rFonts w:hint="eastAsia" w:ascii="Times New Roman" w:hAnsi="Times New Roman" w:eastAsia="仿宋_GB2312"/>
          <w:bCs/>
          <w:sz w:val="24"/>
          <w:szCs w:val="24"/>
          <w:highlight w:val="none"/>
        </w:rPr>
        <w:t>年</w:t>
      </w:r>
      <w:r>
        <w:rPr>
          <w:rFonts w:hint="eastAsia" w:ascii="Times New Roman" w:hAnsi="Times New Roman" w:eastAsia="仿宋_GB2312"/>
          <w:bCs/>
          <w:sz w:val="24"/>
          <w:szCs w:val="24"/>
        </w:rPr>
        <w:t>，最长不超过5年。包括课程学习</w:t>
      </w:r>
      <w:r>
        <w:rPr>
          <w:rFonts w:hint="eastAsia" w:ascii="Times New Roman" w:hAnsi="Times New Roman" w:eastAsia="仿宋_GB2312"/>
          <w:bCs/>
          <w:sz w:val="24"/>
          <w:szCs w:val="24"/>
          <w:lang w:eastAsia="zh-CN"/>
        </w:rPr>
        <w:t>、</w:t>
      </w:r>
      <w:r>
        <w:rPr>
          <w:rFonts w:hint="eastAsia" w:ascii="Times New Roman" w:hAnsi="Times New Roman" w:eastAsia="仿宋_GB2312"/>
          <w:bCs/>
          <w:sz w:val="24"/>
          <w:szCs w:val="24"/>
          <w:lang w:val="en-US" w:eastAsia="zh-CN"/>
        </w:rPr>
        <w:t>申硕考试</w:t>
      </w:r>
      <w:r>
        <w:rPr>
          <w:rFonts w:hint="eastAsia" w:ascii="Times New Roman" w:hAnsi="Times New Roman" w:eastAsia="仿宋_GB2312"/>
          <w:bCs/>
          <w:sz w:val="24"/>
          <w:szCs w:val="24"/>
        </w:rPr>
        <w:t>和学位论文</w:t>
      </w:r>
      <w:r>
        <w:rPr>
          <w:rFonts w:hint="eastAsia" w:ascii="Times New Roman" w:hAnsi="Times New Roman" w:eastAsia="仿宋_GB2312"/>
          <w:bCs/>
          <w:sz w:val="24"/>
          <w:szCs w:val="24"/>
          <w:lang w:val="en-US" w:eastAsia="zh-CN"/>
        </w:rPr>
        <w:t>三</w:t>
      </w:r>
      <w:r>
        <w:rPr>
          <w:rFonts w:hint="eastAsia" w:ascii="Times New Roman" w:hAnsi="Times New Roman" w:eastAsia="仿宋_GB2312"/>
          <w:bCs/>
          <w:sz w:val="24"/>
          <w:szCs w:val="24"/>
        </w:rPr>
        <w:t>个培养环节，课程由公共课程</w:t>
      </w:r>
      <w:r>
        <w:rPr>
          <w:rFonts w:hint="eastAsia" w:ascii="Times New Roman" w:hAnsi="Times New Roman" w:eastAsia="仿宋_GB2312"/>
          <w:bCs/>
          <w:sz w:val="24"/>
          <w:szCs w:val="24"/>
          <w:lang w:val="en-US" w:eastAsia="zh-CN"/>
        </w:rPr>
        <w:t>和</w:t>
      </w:r>
      <w:r>
        <w:rPr>
          <w:rFonts w:hint="eastAsia" w:ascii="Times New Roman" w:hAnsi="Times New Roman" w:eastAsia="仿宋_GB2312"/>
          <w:bCs/>
          <w:sz w:val="24"/>
          <w:szCs w:val="24"/>
        </w:rPr>
        <w:t>专业课程组成。</w:t>
      </w:r>
    </w:p>
    <w:p w14:paraId="7F40F8AE">
      <w:pPr>
        <w:pStyle w:val="8"/>
        <w:spacing w:line="360" w:lineRule="exact"/>
        <w:ind w:firstLine="480"/>
        <w:rPr>
          <w:rFonts w:hint="eastAsia" w:ascii="Times New Roman" w:hAnsi="Times New Roman" w:eastAsia="仿宋_GB2312"/>
          <w:bCs/>
          <w:sz w:val="24"/>
          <w:szCs w:val="24"/>
        </w:rPr>
      </w:pPr>
    </w:p>
    <w:p w14:paraId="70008461">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0" w:beforeAutospacing="0" w:after="100" w:afterAutospacing="0"/>
        <w:textAlignment w:val="auto"/>
        <w:rPr>
          <w:rFonts w:ascii="Times New Roman" w:hAnsi="Times New Roman" w:eastAsia="黑体" w:cs="宋体"/>
          <w:bCs/>
          <w:kern w:val="2"/>
          <w:sz w:val="24"/>
          <w:szCs w:val="24"/>
          <w:lang w:val="en-US" w:bidi="ar-SA"/>
        </w:rPr>
      </w:pPr>
      <w:r>
        <w:rPr>
          <w:rFonts w:hint="eastAsia" w:ascii="Times New Roman" w:hAnsi="Times New Roman" w:eastAsia="黑体"/>
          <w:bCs/>
          <w:sz w:val="24"/>
          <w:szCs w:val="24"/>
          <w:lang w:val="en-US" w:eastAsia="zh-CN"/>
        </w:rPr>
        <w:t>四</w:t>
      </w:r>
      <w:r>
        <w:rPr>
          <w:rFonts w:ascii="Times New Roman" w:hAnsi="Times New Roman" w:eastAsia="黑体"/>
          <w:bCs/>
          <w:sz w:val="24"/>
          <w:szCs w:val="24"/>
        </w:rPr>
        <w:t>、</w:t>
      </w:r>
      <w:r>
        <w:rPr>
          <w:rFonts w:hint="eastAsia" w:ascii="Times New Roman" w:hAnsi="Times New Roman" w:eastAsia="黑体" w:cs="宋体"/>
          <w:bCs/>
          <w:kern w:val="2"/>
          <w:sz w:val="24"/>
          <w:szCs w:val="24"/>
          <w:lang w:val="en-US" w:bidi="ar-SA"/>
        </w:rPr>
        <w:t>缴纳学费</w:t>
      </w:r>
    </w:p>
    <w:p w14:paraId="7B8E50F5">
      <w:pPr>
        <w:pStyle w:val="4"/>
        <w:keepNext w:val="0"/>
        <w:keepLines w:val="0"/>
        <w:widowControl/>
        <w:suppressLineNumbers w:val="0"/>
        <w:shd w:val="clear" w:color="auto" w:fill="FFFFFF"/>
        <w:spacing w:line="240" w:lineRule="atLeast"/>
        <w:ind w:left="0" w:firstLine="28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根据我校下发的《江西财经大学同等学力人员申请硕士学位收入管理办法》的通知（江财财务字【2022】4号）文件精神，从即日起，学费缴纳分两段制进行，即课程学习阶段和撰写学位论文及答辩阶段。课程学习阶段学费为</w:t>
      </w:r>
      <w:r>
        <w:rPr>
          <w:rFonts w:hint="default" w:ascii="仿宋_GB2312" w:hAnsi="仿宋_GB2312" w:eastAsia="仿宋_GB2312" w:cs="仿宋_GB2312"/>
          <w:bCs/>
          <w:kern w:val="2"/>
          <w:sz w:val="24"/>
          <w:szCs w:val="24"/>
          <w:lang w:val="en-US" w:eastAsia="zh-CN" w:bidi="ar-SA"/>
        </w:rPr>
        <w:t>15000</w:t>
      </w:r>
      <w:r>
        <w:rPr>
          <w:rFonts w:hint="eastAsia" w:ascii="仿宋_GB2312" w:hAnsi="仿宋_GB2312" w:eastAsia="仿宋_GB2312" w:cs="仿宋_GB2312"/>
          <w:bCs/>
          <w:kern w:val="2"/>
          <w:sz w:val="24"/>
          <w:szCs w:val="24"/>
          <w:lang w:val="en-US" w:eastAsia="zh-CN" w:bidi="ar-SA"/>
        </w:rPr>
        <w:t>元，教材、资料自理。撰写学位论文及答辩阶段学费为10000元，各项收费实际以学校相关规定为准。学生缴纳相关费用后，可获得学校财务处开具的电子缴费发票。</w:t>
      </w:r>
    </w:p>
    <w:p w14:paraId="06E215FC">
      <w:pPr>
        <w:pStyle w:val="4"/>
        <w:keepNext w:val="0"/>
        <w:keepLines w:val="0"/>
        <w:widowControl/>
        <w:suppressLineNumbers w:val="0"/>
        <w:shd w:val="clear" w:color="auto" w:fill="FFFFFF"/>
        <w:spacing w:before="100" w:beforeAutospacing="0" w:after="100" w:afterAutospacing="0"/>
        <w:ind w:left="0" w:firstLine="0"/>
        <w:jc w:val="left"/>
        <w:rPr>
          <w:rFonts w:hint="eastAsia" w:ascii="Times New Roman" w:hAnsi="Times New Roman" w:eastAsia="黑体" w:cs="宋体"/>
          <w:bCs/>
          <w:kern w:val="2"/>
          <w:sz w:val="24"/>
          <w:szCs w:val="24"/>
          <w:lang w:val="en-US" w:eastAsia="zh-CN" w:bidi="ar-SA"/>
        </w:rPr>
      </w:pPr>
      <w:r>
        <w:rPr>
          <w:rFonts w:hint="eastAsia" w:ascii="Times New Roman" w:hAnsi="Times New Roman" w:eastAsia="黑体" w:cs="宋体"/>
          <w:bCs/>
          <w:kern w:val="2"/>
          <w:sz w:val="24"/>
          <w:szCs w:val="24"/>
          <w:lang w:val="en-US" w:eastAsia="zh-CN" w:bidi="ar-SA"/>
        </w:rPr>
        <w:t>九、报名流程</w:t>
      </w:r>
    </w:p>
    <w:p w14:paraId="2661ABEE">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报名时需提交以下材料：</w:t>
      </w:r>
    </w:p>
    <w:p w14:paraId="2024D276">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1．报名表</w:t>
      </w:r>
    </w:p>
    <w:p w14:paraId="433793B8">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2．本人身份证正、反面电子稿；</w:t>
      </w:r>
    </w:p>
    <w:p w14:paraId="11BEA859">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3．本人学历毕业证书和学位证书电子稿；</w:t>
      </w:r>
    </w:p>
    <w:p w14:paraId="25C18C84">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4．本人近期免冠1寸蓝底彩照；</w:t>
      </w:r>
    </w:p>
    <w:p w14:paraId="489D76E4">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5．告知书。</w:t>
      </w:r>
    </w:p>
    <w:p w14:paraId="1C95E331">
      <w:pPr>
        <w:bidi w:val="0"/>
        <w:rPr>
          <w:rFonts w:hint="default" w:ascii="仿宋" w:hAnsi="仿宋" w:eastAsia="仿宋" w:cs="仿宋"/>
          <w:sz w:val="24"/>
          <w:szCs w:val="32"/>
          <w:lang w:val="en-US" w:eastAsia="zh-CN"/>
        </w:rPr>
      </w:pPr>
    </w:p>
    <w:p w14:paraId="2A387A48">
      <w:pPr>
        <w:bidi w:val="0"/>
        <w:rPr>
          <w:rFonts w:hint="default" w:ascii="仿宋" w:hAnsi="仿宋" w:eastAsia="仿宋" w:cs="仿宋"/>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92B1B"/>
    <w:rsid w:val="03C52F1A"/>
    <w:rsid w:val="0ED96FBA"/>
    <w:rsid w:val="10384CFC"/>
    <w:rsid w:val="12B02AA2"/>
    <w:rsid w:val="150F1EAB"/>
    <w:rsid w:val="18540D97"/>
    <w:rsid w:val="1B5C578B"/>
    <w:rsid w:val="1B5C620C"/>
    <w:rsid w:val="20B77960"/>
    <w:rsid w:val="27812EB1"/>
    <w:rsid w:val="2A8F2436"/>
    <w:rsid w:val="2C597D1A"/>
    <w:rsid w:val="30246F0B"/>
    <w:rsid w:val="312078D0"/>
    <w:rsid w:val="33657AB4"/>
    <w:rsid w:val="3A29578D"/>
    <w:rsid w:val="43B22B37"/>
    <w:rsid w:val="43C50361"/>
    <w:rsid w:val="460261E6"/>
    <w:rsid w:val="54BE49E9"/>
    <w:rsid w:val="551A63DE"/>
    <w:rsid w:val="609D5BF6"/>
    <w:rsid w:val="638017F1"/>
    <w:rsid w:val="65E92A01"/>
    <w:rsid w:val="69E574B5"/>
    <w:rsid w:val="70336BD2"/>
    <w:rsid w:val="74911176"/>
    <w:rsid w:val="7DE74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华文仿宋" w:hAnsi="华文仿宋" w:eastAsia="华文仿宋" w:cs="华文仿宋"/>
      <w:sz w:val="24"/>
      <w:szCs w:val="24"/>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character" w:styleId="7">
    <w:name w:val="Strong"/>
    <w:basedOn w:val="6"/>
    <w:qFormat/>
    <w:uiPriority w:val="0"/>
    <w:rPr>
      <w:b/>
    </w:rPr>
  </w:style>
  <w:style w:type="paragraph" w:customStyle="1" w:styleId="8">
    <w:name w:val="_Style 1"/>
    <w:basedOn w:val="1"/>
    <w:qFormat/>
    <w:uiPriority w:val="34"/>
    <w:pPr>
      <w:ind w:firstLine="420" w:firstLineChars="200"/>
    </w:pPr>
  </w:style>
  <w:style w:type="paragraph" w:styleId="9">
    <w:name w:val="List Paragraph"/>
    <w:basedOn w:val="1"/>
    <w:qFormat/>
    <w:uiPriority w:val="34"/>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华文仿宋" w:hAnsi="华文仿宋" w:eastAsia="华文仿宋" w:cs="华文仿宋"/>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1886</Words>
  <Characters>1947</Characters>
  <Paragraphs>271</Paragraphs>
  <TotalTime>1</TotalTime>
  <ScaleCrop>false</ScaleCrop>
  <LinksUpToDate>false</LinksUpToDate>
  <CharactersWithSpaces>1961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2024-12-17T05:42:00Z</dcterms:created>
  <dc:creator>CP3</dc:creator>
  <cp:lastModifiedBy>人事尹老师</cp:lastModifiedBy>
  <dcterms:modified xsi:type="dcterms:W3CDTF">2026-01-20T06:51:43Z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C1BFDD39F055472F9D1C4F56DA920B0D_13</vt:lpwstr>
  </property>
  <property fmtid="{D5CDD505-2E9C-101B-9397-08002B2CF9AE}" pid="4" name="KSOTemplateDocerSaveRecord">
    <vt:lpwstr>eyJoZGlkIjoiYjM3NzQzZWVkNmFmNThmMDQyYWRhYjg2ZDJmNDhiYmEiLCJ1c2VySWQiOiIxMjk3NjkzNDEyIn0=</vt:lpwstr>
  </property>
</Properties>
</file>