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DA05ED">
      <w:pPr>
        <w:jc w:val="center"/>
        <w:rPr>
          <w:rFonts w:hint="default" w:eastAsia="宋体"/>
          <w:b/>
          <w:bCs/>
          <w:sz w:val="28"/>
          <w:szCs w:val="36"/>
          <w:lang w:val="en-US" w:eastAsia="zh-CN"/>
        </w:rPr>
      </w:pPr>
      <w:r>
        <w:rPr>
          <w:rFonts w:hint="eastAsia"/>
          <w:b/>
          <w:bCs/>
          <w:sz w:val="28"/>
          <w:szCs w:val="36"/>
          <w:lang w:val="en-US" w:eastAsia="zh-CN"/>
        </w:rPr>
        <w:t>江西财经大学公共管理学院</w:t>
      </w:r>
      <w:r>
        <w:rPr>
          <w:rFonts w:hint="eastAsia"/>
          <w:b/>
          <w:bCs/>
          <w:sz w:val="28"/>
          <w:szCs w:val="36"/>
        </w:rPr>
        <w:t>同等学力</w:t>
      </w:r>
      <w:r>
        <w:rPr>
          <w:rFonts w:hint="eastAsia"/>
          <w:b/>
          <w:bCs/>
          <w:sz w:val="28"/>
          <w:szCs w:val="36"/>
          <w:lang w:val="en-US" w:eastAsia="zh-CN"/>
        </w:rPr>
        <w:t>高级研修班</w:t>
      </w:r>
      <w:bookmarkStart w:id="0" w:name="_GoBack"/>
      <w:bookmarkEnd w:id="0"/>
      <w:r>
        <w:rPr>
          <w:rFonts w:hint="eastAsia"/>
          <w:b/>
          <w:bCs/>
          <w:sz w:val="28"/>
          <w:szCs w:val="36"/>
          <w:lang w:val="en-US" w:eastAsia="zh-CN"/>
        </w:rPr>
        <w:t>招生简章</w:t>
      </w:r>
    </w:p>
    <w:p w14:paraId="114A2CA1">
      <w:pPr>
        <w:rPr>
          <w:rFonts w:hint="eastAsia"/>
          <w:lang w:val="en-US" w:eastAsia="zh-CN"/>
        </w:rPr>
      </w:pPr>
    </w:p>
    <w:p w14:paraId="11F6785F">
      <w:pPr>
        <w:numPr>
          <w:ilvl w:val="0"/>
          <w:numId w:val="0"/>
        </w:numPr>
        <w:spacing w:line="360" w:lineRule="exact"/>
        <w:rPr>
          <w:rFonts w:hint="default" w:ascii="Times New Roman" w:hAnsi="Times New Roman" w:eastAsia="黑体"/>
          <w:bCs/>
          <w:sz w:val="24"/>
          <w:szCs w:val="24"/>
          <w:lang w:val="en-US" w:eastAsia="zh-CN"/>
        </w:rPr>
      </w:pPr>
      <w:r>
        <w:rPr>
          <w:rFonts w:hint="eastAsia" w:ascii="Times New Roman" w:hAnsi="Times New Roman" w:eastAsia="黑体"/>
          <w:bCs/>
          <w:sz w:val="24"/>
          <w:szCs w:val="24"/>
          <w:lang w:val="en-US" w:eastAsia="zh-CN"/>
        </w:rPr>
        <w:t>一、院校简介</w:t>
      </w:r>
    </w:p>
    <w:p w14:paraId="6B52E1A6">
      <w:pPr>
        <w:pStyle w:val="8"/>
        <w:keepNext w:val="0"/>
        <w:keepLines w:val="0"/>
        <w:pageBreakBefore w:val="0"/>
        <w:widowControl w:val="0"/>
        <w:numPr>
          <w:ilvl w:val="0"/>
          <w:numId w:val="0"/>
        </w:numPr>
        <w:kinsoku/>
        <w:wordWrap/>
        <w:overflowPunct/>
        <w:topLinePunct w:val="0"/>
        <w:autoSpaceDE/>
        <w:autoSpaceDN/>
        <w:bidi w:val="0"/>
        <w:adjustRightInd/>
        <w:snapToGrid/>
        <w:spacing w:line="360" w:lineRule="exact"/>
        <w:ind w:leftChars="0" w:firstLine="480" w:firstLineChars="200"/>
        <w:textAlignment w:val="auto"/>
        <w:rPr>
          <w:rFonts w:hint="eastAsia" w:ascii="Times New Roman" w:hAnsi="Times New Roman" w:eastAsia="仿宋_GB2312"/>
          <w:bCs/>
          <w:sz w:val="24"/>
          <w:szCs w:val="24"/>
          <w:lang w:val="en-US" w:eastAsia="zh-CN"/>
        </w:rPr>
      </w:pPr>
      <w:r>
        <w:rPr>
          <w:rFonts w:hint="eastAsia" w:ascii="Times New Roman" w:hAnsi="Times New Roman" w:eastAsia="仿宋_GB2312"/>
          <w:bCs/>
          <w:sz w:val="24"/>
          <w:szCs w:val="24"/>
          <w:lang w:val="en-US" w:eastAsia="zh-CN"/>
        </w:rPr>
        <w:t>江西财经大学是一所财政部、教育部、江西省人民政府共建，以经济、管理类学科为主，法、工、文、理、艺术等学科协调发展的高等财经学府。公开资料显示，学校位居中国CFO大学排行榜第5名，中国财经类大学排行榜第7名，国家一流本科专业精度排行榜第15名，中国造富大学排行榜第16名，中国高管校友大学排行榜第30名，中国大学校友捐赠排行榜第47名，中国高校毕业生薪酬指数排行榜第71名。</w:t>
      </w:r>
    </w:p>
    <w:p w14:paraId="1384470E">
      <w:pPr>
        <w:pStyle w:val="8"/>
        <w:keepNext w:val="0"/>
        <w:keepLines w:val="0"/>
        <w:pageBreakBefore w:val="0"/>
        <w:widowControl w:val="0"/>
        <w:numPr>
          <w:ilvl w:val="0"/>
          <w:numId w:val="0"/>
        </w:numPr>
        <w:kinsoku/>
        <w:wordWrap/>
        <w:overflowPunct/>
        <w:topLinePunct w:val="0"/>
        <w:autoSpaceDE/>
        <w:autoSpaceDN/>
        <w:bidi w:val="0"/>
        <w:adjustRightInd/>
        <w:snapToGrid/>
        <w:spacing w:line="360" w:lineRule="exact"/>
        <w:ind w:leftChars="0" w:firstLine="480" w:firstLineChars="200"/>
        <w:textAlignment w:val="auto"/>
        <w:rPr>
          <w:rFonts w:hint="eastAsia" w:ascii="Times New Roman" w:hAnsi="Times New Roman" w:eastAsia="仿宋_GB2312"/>
          <w:bCs/>
          <w:sz w:val="24"/>
          <w:szCs w:val="24"/>
        </w:rPr>
      </w:pPr>
      <w:r>
        <w:rPr>
          <w:rFonts w:hint="eastAsia" w:ascii="Times New Roman" w:hAnsi="Times New Roman" w:eastAsia="仿宋_GB2312"/>
          <w:bCs/>
          <w:sz w:val="24"/>
          <w:szCs w:val="24"/>
        </w:rPr>
        <w:t>​江西财经大学公共管理学院具有悠久的办学历史，早在1958年就设立了行政管理专业，2003年原财政金融学院、工商管理学院、经济学院的部分系（部）合并，组建公共管理学院（含财政、税务、行政管理、社会保障等学科专业），2009年更名为财税与公共管理学院，2024年12月分设财政税务学院和公共管理学院。新成立的公共管理学院，聚焦公共管理学科和专业建设。学院下设行政管理系、社会保障系、土地资源管理系三个教学系，并设有财政与社会治理研究院实体科研机构。同时还设立了公共政策与治理研究院、江西新时代社会治理研究中心、医疗保障研究中心、卫生政策与治理创新研究中心、公共政策评价中心、国土空间规划研究中心、海峡两岸不动产研究中心等非实体科研机构。学院还发起成立了全国财经类高校MPA教育联盟，牵头江西省公共管理学科联盟和江西省MPA教育联盟。</w:t>
      </w:r>
    </w:p>
    <w:p w14:paraId="642753BE">
      <w:pPr>
        <w:pStyle w:val="8"/>
        <w:keepNext w:val="0"/>
        <w:keepLines w:val="0"/>
        <w:pageBreakBefore w:val="0"/>
        <w:widowControl w:val="0"/>
        <w:numPr>
          <w:ilvl w:val="0"/>
          <w:numId w:val="0"/>
        </w:numPr>
        <w:kinsoku/>
        <w:wordWrap/>
        <w:overflowPunct/>
        <w:topLinePunct w:val="0"/>
        <w:autoSpaceDE/>
        <w:autoSpaceDN/>
        <w:bidi w:val="0"/>
        <w:adjustRightInd/>
        <w:snapToGrid/>
        <w:spacing w:line="360" w:lineRule="exact"/>
        <w:ind w:leftChars="0" w:firstLine="480" w:firstLineChars="200"/>
        <w:textAlignment w:val="auto"/>
        <w:rPr>
          <w:rFonts w:hint="eastAsia" w:ascii="Times New Roman" w:hAnsi="Times New Roman" w:eastAsia="仿宋_GB2312"/>
          <w:bCs/>
          <w:sz w:val="24"/>
          <w:szCs w:val="24"/>
        </w:rPr>
      </w:pPr>
      <w:r>
        <w:rPr>
          <w:rFonts w:hint="eastAsia" w:ascii="Times New Roman" w:hAnsi="Times New Roman" w:eastAsia="仿宋_GB2312"/>
          <w:bCs/>
          <w:sz w:val="24"/>
          <w:szCs w:val="24"/>
        </w:rPr>
        <w:t>我校2005年获得公共管理硕士（MPA）培养资格，2006年获批公共管理一级学科硕士授权点，涵盖行政管理、社会保障、土地资源管理、教育经济与管理等四个二级学科学术型硕士点。2011年自设公共经济与管理二级学科博士授权点，2018年开始招收公共管理硕士留学生，2023年开始招收公共经济与管理博士留学生。在教育部第四轮学科评估中，我校公共管理学科获评B-等次。在2024年软科中国最好学科排名中，我校公共管理位列前20%（第38名）。</w:t>
      </w:r>
    </w:p>
    <w:p w14:paraId="6B20A61B">
      <w:pPr>
        <w:pStyle w:val="8"/>
        <w:keepNext w:val="0"/>
        <w:keepLines w:val="0"/>
        <w:pageBreakBefore w:val="0"/>
        <w:widowControl w:val="0"/>
        <w:numPr>
          <w:ilvl w:val="0"/>
          <w:numId w:val="0"/>
        </w:numPr>
        <w:kinsoku/>
        <w:wordWrap/>
        <w:overflowPunct/>
        <w:topLinePunct w:val="0"/>
        <w:autoSpaceDE/>
        <w:autoSpaceDN/>
        <w:bidi w:val="0"/>
        <w:adjustRightInd/>
        <w:snapToGrid/>
        <w:spacing w:line="360" w:lineRule="exact"/>
        <w:ind w:leftChars="0" w:firstLine="480" w:firstLineChars="200"/>
        <w:textAlignment w:val="auto"/>
        <w:rPr>
          <w:rFonts w:hint="eastAsia" w:ascii="Times New Roman" w:hAnsi="Times New Roman" w:eastAsia="仿宋_GB2312"/>
          <w:bCs/>
          <w:sz w:val="24"/>
          <w:szCs w:val="24"/>
          <w:lang w:val="en-US" w:eastAsia="zh-CN"/>
        </w:rPr>
      </w:pPr>
    </w:p>
    <w:p w14:paraId="6EB63CC0">
      <w:pPr>
        <w:numPr>
          <w:ilvl w:val="0"/>
          <w:numId w:val="0"/>
        </w:numPr>
        <w:spacing w:line="360" w:lineRule="exact"/>
        <w:rPr>
          <w:rFonts w:hint="default" w:ascii="Times New Roman" w:hAnsi="Times New Roman" w:eastAsia="黑体"/>
          <w:bCs/>
          <w:sz w:val="24"/>
          <w:szCs w:val="24"/>
          <w:lang w:val="en-US" w:eastAsia="zh-CN"/>
        </w:rPr>
      </w:pPr>
      <w:r>
        <w:rPr>
          <w:rFonts w:hint="eastAsia" w:ascii="Times New Roman" w:hAnsi="Times New Roman" w:eastAsia="黑体"/>
          <w:bCs/>
          <w:sz w:val="24"/>
          <w:szCs w:val="24"/>
          <w:lang w:val="en-US" w:eastAsia="zh-CN"/>
        </w:rPr>
        <w:t>二、专业方向与培养计划</w:t>
      </w:r>
    </w:p>
    <w:p w14:paraId="5F5FBEB0">
      <w:pPr>
        <w:pStyle w:val="3"/>
        <w:spacing w:before="87" w:line="240" w:lineRule="auto"/>
        <w:ind w:left="138" w:right="95" w:firstLine="480"/>
        <w:jc w:val="both"/>
        <w:rPr>
          <w:rFonts w:hint="eastAsia" w:ascii="Times New Roman" w:hAnsi="Times New Roman" w:eastAsia="仿宋_GB2312" w:cs="宋体"/>
          <w:bCs/>
          <w:kern w:val="2"/>
          <w:sz w:val="24"/>
          <w:szCs w:val="24"/>
          <w:lang w:val="en-US" w:eastAsia="zh-CN" w:bidi="ar-SA"/>
        </w:rPr>
      </w:pPr>
      <w:r>
        <w:rPr>
          <w:rFonts w:hint="eastAsia" w:ascii="Times New Roman" w:hAnsi="Times New Roman" w:eastAsia="仿宋_GB2312" w:cs="宋体"/>
          <w:bCs/>
          <w:kern w:val="2"/>
          <w:sz w:val="24"/>
          <w:szCs w:val="24"/>
          <w:lang w:val="en-US" w:eastAsia="zh-CN" w:bidi="ar-SA"/>
        </w:rPr>
        <w:t>◆</w:t>
      </w:r>
      <w:r>
        <w:rPr>
          <w:rFonts w:hint="eastAsia" w:ascii="Times New Roman" w:hAnsi="Times New Roman" w:eastAsia="仿宋_GB2312" w:cs="宋体"/>
          <w:b/>
          <w:bCs w:val="0"/>
          <w:kern w:val="2"/>
          <w:sz w:val="24"/>
          <w:szCs w:val="24"/>
          <w:lang w:val="en-US" w:eastAsia="zh-CN" w:bidi="ar-SA"/>
        </w:rPr>
        <w:t>教育经济与管理（管理类）</w:t>
      </w:r>
      <w:r>
        <w:rPr>
          <w:rFonts w:hint="eastAsia" w:ascii="Times New Roman" w:hAnsi="Times New Roman" w:eastAsia="仿宋_GB2312" w:cs="宋体"/>
          <w:bCs/>
          <w:kern w:val="2"/>
          <w:sz w:val="24"/>
          <w:szCs w:val="24"/>
          <w:lang w:val="en-US" w:eastAsia="zh-CN" w:bidi="ar-SA"/>
        </w:rPr>
        <w:t>：高等教育管理 、职业教育管理 、学前教育管理 、基础教育管理 、学校管理 、教育经济 、教育管理 、教育政策 、教育人力资源管理</w:t>
      </w:r>
    </w:p>
    <w:tbl>
      <w:tblPr>
        <w:tblStyle w:val="10"/>
        <w:tblW w:w="7279"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1659"/>
        <w:gridCol w:w="4441"/>
        <w:gridCol w:w="1179"/>
      </w:tblGrid>
      <w:tr w14:paraId="7BD46C1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7" w:hRule="atLeast"/>
          <w:jc w:val="center"/>
        </w:trPr>
        <w:tc>
          <w:tcPr>
            <w:tcW w:w="1659" w:type="dxa"/>
            <w:shd w:val="clear" w:color="auto" w:fill="BEBEBE"/>
            <w:vAlign w:val="center"/>
          </w:tcPr>
          <w:p w14:paraId="5C918F59">
            <w:pPr>
              <w:pStyle w:val="11"/>
              <w:spacing w:before="73" w:line="207" w:lineRule="auto"/>
              <w:ind w:left="201"/>
              <w:jc w:val="center"/>
            </w:pPr>
            <w:r>
              <w:rPr>
                <w:b/>
                <w:bCs/>
                <w:spacing w:val="-7"/>
              </w:rPr>
              <w:t>课程类别</w:t>
            </w:r>
          </w:p>
        </w:tc>
        <w:tc>
          <w:tcPr>
            <w:tcW w:w="4441" w:type="dxa"/>
            <w:shd w:val="clear" w:color="auto" w:fill="BEBEBE"/>
            <w:vAlign w:val="center"/>
          </w:tcPr>
          <w:p w14:paraId="0D22FAC2">
            <w:pPr>
              <w:pStyle w:val="11"/>
              <w:spacing w:before="73" w:line="207" w:lineRule="auto"/>
              <w:jc w:val="center"/>
            </w:pPr>
            <w:r>
              <w:rPr>
                <w:b/>
                <w:bCs/>
                <w:spacing w:val="-5"/>
              </w:rPr>
              <w:t>课程名称</w:t>
            </w:r>
          </w:p>
        </w:tc>
        <w:tc>
          <w:tcPr>
            <w:tcW w:w="1179" w:type="dxa"/>
            <w:shd w:val="clear" w:color="auto" w:fill="BEBEBE"/>
            <w:vAlign w:val="center"/>
          </w:tcPr>
          <w:p w14:paraId="470464FB">
            <w:pPr>
              <w:pStyle w:val="11"/>
              <w:spacing w:before="72" w:line="206" w:lineRule="auto"/>
              <w:jc w:val="center"/>
            </w:pPr>
            <w:r>
              <w:rPr>
                <w:b/>
                <w:bCs/>
                <w:spacing w:val="-6"/>
              </w:rPr>
              <w:t>学分</w:t>
            </w:r>
          </w:p>
        </w:tc>
      </w:tr>
      <w:tr w14:paraId="41556B9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08" w:hRule="atLeast"/>
          <w:jc w:val="center"/>
        </w:trPr>
        <w:tc>
          <w:tcPr>
            <w:tcW w:w="1659" w:type="dxa"/>
            <w:vMerge w:val="restart"/>
            <w:tcBorders>
              <w:bottom w:val="nil"/>
            </w:tcBorders>
            <w:vAlign w:val="center"/>
          </w:tcPr>
          <w:p w14:paraId="3A29675C">
            <w:pPr>
              <w:pStyle w:val="11"/>
              <w:spacing w:before="72" w:line="207" w:lineRule="auto"/>
              <w:jc w:val="center"/>
            </w:pPr>
            <w:r>
              <w:rPr>
                <w:spacing w:val="5"/>
              </w:rPr>
              <w:t>公共课</w:t>
            </w:r>
          </w:p>
        </w:tc>
        <w:tc>
          <w:tcPr>
            <w:tcW w:w="4441" w:type="dxa"/>
            <w:vAlign w:val="center"/>
          </w:tcPr>
          <w:p w14:paraId="2B08D3A8">
            <w:pPr>
              <w:pStyle w:val="11"/>
              <w:spacing w:before="49" w:line="198" w:lineRule="auto"/>
              <w:ind w:left="117" w:leftChars="0"/>
              <w:jc w:val="center"/>
            </w:pPr>
            <w:r>
              <w:rPr>
                <w:spacing w:val="8"/>
              </w:rPr>
              <w:t>马克思主义与社会科学方法论</w:t>
            </w:r>
          </w:p>
        </w:tc>
        <w:tc>
          <w:tcPr>
            <w:tcW w:w="1179" w:type="dxa"/>
            <w:vAlign w:val="center"/>
          </w:tcPr>
          <w:p w14:paraId="67104BB4">
            <w:pPr>
              <w:pStyle w:val="11"/>
              <w:spacing w:before="77" w:line="175" w:lineRule="auto"/>
              <w:ind w:left="505"/>
              <w:jc w:val="both"/>
            </w:pPr>
            <w:r>
              <w:t>2</w:t>
            </w:r>
          </w:p>
        </w:tc>
      </w:tr>
      <w:tr w14:paraId="12E5D8E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52" w:hRule="atLeast"/>
          <w:jc w:val="center"/>
        </w:trPr>
        <w:tc>
          <w:tcPr>
            <w:tcW w:w="1659" w:type="dxa"/>
            <w:vMerge w:val="continue"/>
            <w:tcBorders>
              <w:top w:val="nil"/>
              <w:bottom w:val="nil"/>
            </w:tcBorders>
            <w:vAlign w:val="center"/>
          </w:tcPr>
          <w:p w14:paraId="4BAF4DB7">
            <w:pPr>
              <w:jc w:val="center"/>
              <w:rPr>
                <w:rFonts w:ascii="Arial"/>
                <w:sz w:val="21"/>
              </w:rPr>
            </w:pPr>
          </w:p>
        </w:tc>
        <w:tc>
          <w:tcPr>
            <w:tcW w:w="4441" w:type="dxa"/>
            <w:vAlign w:val="center"/>
          </w:tcPr>
          <w:p w14:paraId="0F8C096F">
            <w:pPr>
              <w:pStyle w:val="11"/>
              <w:spacing w:before="12" w:line="234" w:lineRule="auto"/>
              <w:ind w:left="107" w:leftChars="0"/>
              <w:jc w:val="center"/>
            </w:pPr>
            <w:r>
              <w:rPr>
                <w:spacing w:val="2"/>
              </w:rPr>
              <w:t>公共英语（精读</w:t>
            </w:r>
            <w:r>
              <w:rPr>
                <w:spacing w:val="-23"/>
              </w:rPr>
              <w:t xml:space="preserve"> </w:t>
            </w:r>
            <w:r>
              <w:rPr>
                <w:spacing w:val="2"/>
              </w:rPr>
              <w:t>、</w:t>
            </w:r>
            <w:r>
              <w:rPr>
                <w:spacing w:val="-14"/>
              </w:rPr>
              <w:t xml:space="preserve"> </w:t>
            </w:r>
            <w:r>
              <w:rPr>
                <w:spacing w:val="2"/>
              </w:rPr>
              <w:t>听说）</w:t>
            </w:r>
          </w:p>
        </w:tc>
        <w:tc>
          <w:tcPr>
            <w:tcW w:w="1179" w:type="dxa"/>
            <w:vAlign w:val="center"/>
          </w:tcPr>
          <w:p w14:paraId="3BFDF214">
            <w:pPr>
              <w:pStyle w:val="11"/>
              <w:spacing w:before="77" w:line="175" w:lineRule="auto"/>
              <w:ind w:left="505"/>
              <w:jc w:val="both"/>
            </w:pPr>
            <w:r>
              <w:t>2</w:t>
            </w:r>
          </w:p>
        </w:tc>
      </w:tr>
      <w:tr w14:paraId="2A1BB9E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14" w:hRule="atLeast"/>
          <w:jc w:val="center"/>
        </w:trPr>
        <w:tc>
          <w:tcPr>
            <w:tcW w:w="1659" w:type="dxa"/>
            <w:vMerge w:val="restart"/>
            <w:tcBorders>
              <w:bottom w:val="nil"/>
            </w:tcBorders>
            <w:vAlign w:val="center"/>
          </w:tcPr>
          <w:p w14:paraId="4405F5BF">
            <w:pPr>
              <w:pStyle w:val="11"/>
              <w:spacing w:before="73" w:line="206" w:lineRule="auto"/>
              <w:ind w:left="476"/>
              <w:jc w:val="center"/>
            </w:pPr>
            <w:r>
              <w:rPr>
                <w:spacing w:val="2"/>
              </w:rPr>
              <w:t>必修课</w:t>
            </w:r>
          </w:p>
        </w:tc>
        <w:tc>
          <w:tcPr>
            <w:tcW w:w="4441" w:type="dxa"/>
            <w:vAlign w:val="center"/>
          </w:tcPr>
          <w:p w14:paraId="038A366F">
            <w:pPr>
              <w:pStyle w:val="11"/>
              <w:spacing w:before="53" w:line="200" w:lineRule="auto"/>
              <w:ind w:left="117"/>
              <w:jc w:val="center"/>
            </w:pPr>
            <w:r>
              <w:rPr>
                <w:spacing w:val="5"/>
              </w:rPr>
              <w:t>高等教育学</w:t>
            </w:r>
          </w:p>
        </w:tc>
        <w:tc>
          <w:tcPr>
            <w:tcW w:w="1179" w:type="dxa"/>
            <w:vAlign w:val="center"/>
          </w:tcPr>
          <w:p w14:paraId="1D98B0CD">
            <w:pPr>
              <w:pStyle w:val="11"/>
              <w:spacing w:before="83" w:line="175" w:lineRule="auto"/>
              <w:ind w:left="511"/>
              <w:jc w:val="both"/>
            </w:pPr>
            <w:r>
              <w:t>3</w:t>
            </w:r>
          </w:p>
        </w:tc>
      </w:tr>
      <w:tr w14:paraId="27D05FE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14" w:hRule="atLeast"/>
          <w:jc w:val="center"/>
        </w:trPr>
        <w:tc>
          <w:tcPr>
            <w:tcW w:w="1659" w:type="dxa"/>
            <w:vMerge w:val="continue"/>
            <w:tcBorders>
              <w:top w:val="nil"/>
              <w:bottom w:val="nil"/>
            </w:tcBorders>
            <w:vAlign w:val="center"/>
          </w:tcPr>
          <w:p w14:paraId="44D13F4B">
            <w:pPr>
              <w:jc w:val="center"/>
              <w:rPr>
                <w:rFonts w:ascii="Arial"/>
                <w:sz w:val="21"/>
              </w:rPr>
            </w:pPr>
          </w:p>
        </w:tc>
        <w:tc>
          <w:tcPr>
            <w:tcW w:w="4441" w:type="dxa"/>
            <w:vAlign w:val="center"/>
          </w:tcPr>
          <w:p w14:paraId="03A56893">
            <w:pPr>
              <w:pStyle w:val="11"/>
              <w:spacing w:before="55" w:line="198" w:lineRule="auto"/>
              <w:ind w:left="109"/>
              <w:jc w:val="center"/>
            </w:pPr>
            <w:r>
              <w:rPr>
                <w:spacing w:val="7"/>
              </w:rPr>
              <w:t>教育经济学</w:t>
            </w:r>
          </w:p>
        </w:tc>
        <w:tc>
          <w:tcPr>
            <w:tcW w:w="1179" w:type="dxa"/>
            <w:vAlign w:val="center"/>
          </w:tcPr>
          <w:p w14:paraId="54EA4F41">
            <w:pPr>
              <w:pStyle w:val="11"/>
              <w:spacing w:before="84" w:line="174" w:lineRule="auto"/>
              <w:ind w:left="511"/>
              <w:jc w:val="both"/>
            </w:pPr>
            <w:r>
              <w:t>3</w:t>
            </w:r>
          </w:p>
        </w:tc>
      </w:tr>
      <w:tr w14:paraId="15AC9E6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14" w:hRule="atLeast"/>
          <w:jc w:val="center"/>
        </w:trPr>
        <w:tc>
          <w:tcPr>
            <w:tcW w:w="1659" w:type="dxa"/>
            <w:vMerge w:val="continue"/>
            <w:tcBorders>
              <w:top w:val="nil"/>
              <w:bottom w:val="nil"/>
            </w:tcBorders>
            <w:vAlign w:val="center"/>
          </w:tcPr>
          <w:p w14:paraId="68EFDC1D">
            <w:pPr>
              <w:jc w:val="center"/>
              <w:rPr>
                <w:rFonts w:ascii="Arial"/>
                <w:sz w:val="21"/>
              </w:rPr>
            </w:pPr>
          </w:p>
        </w:tc>
        <w:tc>
          <w:tcPr>
            <w:tcW w:w="4441" w:type="dxa"/>
            <w:vAlign w:val="center"/>
          </w:tcPr>
          <w:p w14:paraId="798BE10D">
            <w:pPr>
              <w:pStyle w:val="11"/>
              <w:spacing w:before="55" w:line="198" w:lineRule="auto"/>
              <w:ind w:left="104"/>
              <w:jc w:val="center"/>
            </w:pPr>
            <w:r>
              <w:rPr>
                <w:spacing w:val="8"/>
              </w:rPr>
              <w:t>创业教育前沿</w:t>
            </w:r>
          </w:p>
        </w:tc>
        <w:tc>
          <w:tcPr>
            <w:tcW w:w="1179" w:type="dxa"/>
            <w:vAlign w:val="center"/>
          </w:tcPr>
          <w:p w14:paraId="22C1D6DA">
            <w:pPr>
              <w:pStyle w:val="11"/>
              <w:spacing w:before="84" w:line="174" w:lineRule="auto"/>
              <w:ind w:left="505"/>
              <w:jc w:val="both"/>
            </w:pPr>
            <w:r>
              <w:t>2</w:t>
            </w:r>
          </w:p>
        </w:tc>
      </w:tr>
      <w:tr w14:paraId="43CDE63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14" w:hRule="atLeast"/>
          <w:jc w:val="center"/>
        </w:trPr>
        <w:tc>
          <w:tcPr>
            <w:tcW w:w="1659" w:type="dxa"/>
            <w:vMerge w:val="continue"/>
            <w:tcBorders>
              <w:top w:val="nil"/>
              <w:bottom w:val="nil"/>
            </w:tcBorders>
            <w:vAlign w:val="center"/>
          </w:tcPr>
          <w:p w14:paraId="4C99FFBE">
            <w:pPr>
              <w:jc w:val="center"/>
              <w:rPr>
                <w:rFonts w:ascii="Arial"/>
                <w:sz w:val="21"/>
              </w:rPr>
            </w:pPr>
          </w:p>
        </w:tc>
        <w:tc>
          <w:tcPr>
            <w:tcW w:w="4441" w:type="dxa"/>
            <w:vAlign w:val="center"/>
          </w:tcPr>
          <w:p w14:paraId="2BFC78B3">
            <w:pPr>
              <w:pStyle w:val="11"/>
              <w:spacing w:before="58" w:line="196" w:lineRule="auto"/>
              <w:ind w:left="117"/>
              <w:jc w:val="center"/>
            </w:pPr>
            <w:r>
              <w:rPr>
                <w:spacing w:val="7"/>
              </w:rPr>
              <w:t>高等教育管理与规划</w:t>
            </w:r>
          </w:p>
        </w:tc>
        <w:tc>
          <w:tcPr>
            <w:tcW w:w="1179" w:type="dxa"/>
            <w:vAlign w:val="center"/>
          </w:tcPr>
          <w:p w14:paraId="0FADB21D">
            <w:pPr>
              <w:pStyle w:val="11"/>
              <w:spacing w:before="88" w:line="171" w:lineRule="auto"/>
              <w:ind w:left="505"/>
              <w:jc w:val="both"/>
            </w:pPr>
            <w:r>
              <w:t>2</w:t>
            </w:r>
          </w:p>
        </w:tc>
      </w:tr>
      <w:tr w14:paraId="3C7C4FA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14" w:hRule="atLeast"/>
          <w:jc w:val="center"/>
        </w:trPr>
        <w:tc>
          <w:tcPr>
            <w:tcW w:w="1659" w:type="dxa"/>
            <w:vMerge w:val="continue"/>
            <w:tcBorders>
              <w:top w:val="nil"/>
              <w:bottom w:val="nil"/>
            </w:tcBorders>
            <w:vAlign w:val="center"/>
          </w:tcPr>
          <w:p w14:paraId="403ED60B">
            <w:pPr>
              <w:jc w:val="center"/>
              <w:rPr>
                <w:rFonts w:ascii="Arial"/>
                <w:sz w:val="21"/>
              </w:rPr>
            </w:pPr>
          </w:p>
        </w:tc>
        <w:tc>
          <w:tcPr>
            <w:tcW w:w="4441" w:type="dxa"/>
            <w:vAlign w:val="center"/>
          </w:tcPr>
          <w:p w14:paraId="4599E5D7">
            <w:pPr>
              <w:pStyle w:val="11"/>
              <w:spacing w:before="60" w:line="194" w:lineRule="auto"/>
              <w:ind w:left="109"/>
              <w:jc w:val="center"/>
            </w:pPr>
            <w:r>
              <w:rPr>
                <w:spacing w:val="7"/>
              </w:rPr>
              <w:t>教育财政学</w:t>
            </w:r>
          </w:p>
        </w:tc>
        <w:tc>
          <w:tcPr>
            <w:tcW w:w="1179" w:type="dxa"/>
            <w:vAlign w:val="center"/>
          </w:tcPr>
          <w:p w14:paraId="052DA0ED">
            <w:pPr>
              <w:pStyle w:val="11"/>
              <w:spacing w:before="88" w:line="171" w:lineRule="auto"/>
              <w:ind w:left="505"/>
              <w:jc w:val="both"/>
            </w:pPr>
            <w:r>
              <w:t>2</w:t>
            </w:r>
          </w:p>
        </w:tc>
      </w:tr>
      <w:tr w14:paraId="16A7964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08" w:hRule="atLeast"/>
          <w:jc w:val="center"/>
        </w:trPr>
        <w:tc>
          <w:tcPr>
            <w:tcW w:w="1659" w:type="dxa"/>
            <w:vMerge w:val="continue"/>
            <w:tcBorders>
              <w:top w:val="nil"/>
            </w:tcBorders>
            <w:vAlign w:val="center"/>
          </w:tcPr>
          <w:p w14:paraId="5E53F2E7">
            <w:pPr>
              <w:jc w:val="center"/>
              <w:rPr>
                <w:rFonts w:ascii="Arial"/>
                <w:sz w:val="21"/>
              </w:rPr>
            </w:pPr>
          </w:p>
        </w:tc>
        <w:tc>
          <w:tcPr>
            <w:tcW w:w="4441" w:type="dxa"/>
            <w:vAlign w:val="center"/>
          </w:tcPr>
          <w:p w14:paraId="1506C5E1">
            <w:pPr>
              <w:pStyle w:val="11"/>
              <w:spacing w:before="57" w:line="192" w:lineRule="auto"/>
              <w:ind w:left="117"/>
              <w:jc w:val="center"/>
            </w:pPr>
            <w:r>
              <w:rPr>
                <w:spacing w:val="7"/>
              </w:rPr>
              <w:t>高等教育管理前沿</w:t>
            </w:r>
          </w:p>
        </w:tc>
        <w:tc>
          <w:tcPr>
            <w:tcW w:w="1179" w:type="dxa"/>
            <w:vAlign w:val="center"/>
          </w:tcPr>
          <w:p w14:paraId="791B2E68">
            <w:pPr>
              <w:pStyle w:val="11"/>
              <w:spacing w:before="87" w:line="167" w:lineRule="auto"/>
              <w:ind w:left="505"/>
              <w:jc w:val="both"/>
            </w:pPr>
            <w:r>
              <w:t>2</w:t>
            </w:r>
          </w:p>
        </w:tc>
      </w:tr>
      <w:tr w14:paraId="62AF4D7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14" w:hRule="atLeast"/>
          <w:jc w:val="center"/>
        </w:trPr>
        <w:tc>
          <w:tcPr>
            <w:tcW w:w="1659" w:type="dxa"/>
            <w:vMerge w:val="restart"/>
            <w:tcBorders>
              <w:bottom w:val="nil"/>
            </w:tcBorders>
            <w:vAlign w:val="center"/>
          </w:tcPr>
          <w:p w14:paraId="16ACD5FF">
            <w:pPr>
              <w:pStyle w:val="11"/>
              <w:spacing w:before="73" w:line="206" w:lineRule="auto"/>
              <w:ind w:left="466"/>
              <w:jc w:val="center"/>
            </w:pPr>
            <w:r>
              <w:rPr>
                <w:spacing w:val="5"/>
              </w:rPr>
              <w:t>选修课</w:t>
            </w:r>
          </w:p>
        </w:tc>
        <w:tc>
          <w:tcPr>
            <w:tcW w:w="4441" w:type="dxa"/>
            <w:vAlign w:val="center"/>
          </w:tcPr>
          <w:p w14:paraId="6431D4C0">
            <w:pPr>
              <w:pStyle w:val="11"/>
              <w:spacing w:before="60" w:line="194" w:lineRule="auto"/>
              <w:ind w:left="109"/>
              <w:jc w:val="center"/>
            </w:pPr>
            <w:r>
              <w:rPr>
                <w:spacing w:val="8"/>
              </w:rPr>
              <w:t>教育人力资源管理前沿</w:t>
            </w:r>
          </w:p>
        </w:tc>
        <w:tc>
          <w:tcPr>
            <w:tcW w:w="1179" w:type="dxa"/>
            <w:vAlign w:val="center"/>
          </w:tcPr>
          <w:p w14:paraId="0FE639CA">
            <w:pPr>
              <w:pStyle w:val="11"/>
              <w:spacing w:before="90" w:line="169" w:lineRule="auto"/>
              <w:ind w:left="505"/>
              <w:jc w:val="both"/>
            </w:pPr>
            <w:r>
              <w:t>2</w:t>
            </w:r>
          </w:p>
        </w:tc>
      </w:tr>
      <w:tr w14:paraId="42032EB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14" w:hRule="atLeast"/>
          <w:jc w:val="center"/>
        </w:trPr>
        <w:tc>
          <w:tcPr>
            <w:tcW w:w="1659" w:type="dxa"/>
            <w:vMerge w:val="continue"/>
            <w:tcBorders>
              <w:top w:val="nil"/>
              <w:bottom w:val="nil"/>
            </w:tcBorders>
            <w:vAlign w:val="center"/>
          </w:tcPr>
          <w:p w14:paraId="30D499D1">
            <w:pPr>
              <w:jc w:val="center"/>
              <w:rPr>
                <w:rFonts w:ascii="Arial"/>
                <w:sz w:val="21"/>
              </w:rPr>
            </w:pPr>
          </w:p>
        </w:tc>
        <w:tc>
          <w:tcPr>
            <w:tcW w:w="4441" w:type="dxa"/>
            <w:vAlign w:val="center"/>
          </w:tcPr>
          <w:p w14:paraId="2E3606FA">
            <w:pPr>
              <w:pStyle w:val="11"/>
              <w:spacing w:before="61" w:line="193" w:lineRule="auto"/>
              <w:ind w:left="109"/>
              <w:jc w:val="center"/>
            </w:pPr>
            <w:r>
              <w:rPr>
                <w:spacing w:val="8"/>
              </w:rPr>
              <w:t>教育科学研究方法</w:t>
            </w:r>
          </w:p>
        </w:tc>
        <w:tc>
          <w:tcPr>
            <w:tcW w:w="1179" w:type="dxa"/>
            <w:vAlign w:val="center"/>
          </w:tcPr>
          <w:p w14:paraId="4ADB806F">
            <w:pPr>
              <w:pStyle w:val="11"/>
              <w:spacing w:before="92" w:line="168" w:lineRule="auto"/>
              <w:ind w:left="505"/>
              <w:jc w:val="both"/>
            </w:pPr>
            <w:r>
              <w:t>2</w:t>
            </w:r>
          </w:p>
        </w:tc>
      </w:tr>
      <w:tr w14:paraId="5DF8363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09" w:hRule="atLeast"/>
          <w:jc w:val="center"/>
        </w:trPr>
        <w:tc>
          <w:tcPr>
            <w:tcW w:w="1659" w:type="dxa"/>
            <w:vMerge w:val="continue"/>
            <w:tcBorders>
              <w:top w:val="nil"/>
              <w:bottom w:val="nil"/>
            </w:tcBorders>
            <w:vAlign w:val="center"/>
          </w:tcPr>
          <w:p w14:paraId="25ECF5A5">
            <w:pPr>
              <w:jc w:val="center"/>
              <w:rPr>
                <w:rFonts w:ascii="Arial"/>
                <w:sz w:val="21"/>
              </w:rPr>
            </w:pPr>
          </w:p>
        </w:tc>
        <w:tc>
          <w:tcPr>
            <w:tcW w:w="4441" w:type="dxa"/>
            <w:vAlign w:val="center"/>
          </w:tcPr>
          <w:p w14:paraId="7A13304A">
            <w:pPr>
              <w:pStyle w:val="11"/>
              <w:spacing w:before="59" w:line="191" w:lineRule="auto"/>
              <w:ind w:left="117"/>
              <w:jc w:val="center"/>
            </w:pPr>
            <w:r>
              <w:rPr>
                <w:spacing w:val="7"/>
              </w:rPr>
              <w:t>高等教育财政前沿</w:t>
            </w:r>
          </w:p>
        </w:tc>
        <w:tc>
          <w:tcPr>
            <w:tcW w:w="1179" w:type="dxa"/>
            <w:vAlign w:val="center"/>
          </w:tcPr>
          <w:p w14:paraId="6F49CA4E">
            <w:pPr>
              <w:pStyle w:val="11"/>
              <w:spacing w:before="89" w:line="166" w:lineRule="auto"/>
              <w:ind w:left="505"/>
              <w:jc w:val="both"/>
            </w:pPr>
            <w:r>
              <w:t>2</w:t>
            </w:r>
          </w:p>
        </w:tc>
      </w:tr>
      <w:tr w14:paraId="0EBC681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75" w:hRule="atLeast"/>
          <w:jc w:val="center"/>
        </w:trPr>
        <w:tc>
          <w:tcPr>
            <w:tcW w:w="1659" w:type="dxa"/>
            <w:vMerge w:val="continue"/>
            <w:tcBorders>
              <w:top w:val="nil"/>
            </w:tcBorders>
            <w:vAlign w:val="center"/>
          </w:tcPr>
          <w:p w14:paraId="23FD9202">
            <w:pPr>
              <w:jc w:val="center"/>
              <w:rPr>
                <w:rFonts w:ascii="Arial"/>
                <w:sz w:val="21"/>
              </w:rPr>
            </w:pPr>
          </w:p>
        </w:tc>
        <w:tc>
          <w:tcPr>
            <w:tcW w:w="4441" w:type="dxa"/>
            <w:vAlign w:val="center"/>
          </w:tcPr>
          <w:p w14:paraId="69AD6AB9">
            <w:pPr>
              <w:pStyle w:val="11"/>
              <w:spacing w:before="76" w:line="208" w:lineRule="auto"/>
              <w:ind w:left="117"/>
              <w:jc w:val="center"/>
            </w:pPr>
            <w:r>
              <w:rPr>
                <w:spacing w:val="7"/>
              </w:rPr>
              <w:t>高等教育政策前沿</w:t>
            </w:r>
          </w:p>
        </w:tc>
        <w:tc>
          <w:tcPr>
            <w:tcW w:w="1179" w:type="dxa"/>
            <w:vAlign w:val="center"/>
          </w:tcPr>
          <w:p w14:paraId="56BA9E46">
            <w:pPr>
              <w:pStyle w:val="11"/>
              <w:spacing w:before="107" w:line="181" w:lineRule="auto"/>
              <w:ind w:left="505"/>
              <w:jc w:val="both"/>
            </w:pPr>
            <w:r>
              <w:t>2</w:t>
            </w:r>
          </w:p>
        </w:tc>
      </w:tr>
    </w:tbl>
    <w:p w14:paraId="49275B22">
      <w:pPr>
        <w:pStyle w:val="3"/>
        <w:spacing w:before="87" w:line="240" w:lineRule="auto"/>
        <w:ind w:left="138" w:right="95" w:firstLine="480"/>
        <w:jc w:val="both"/>
        <w:rPr>
          <w:rFonts w:hint="eastAsia" w:ascii="Times New Roman" w:hAnsi="Times New Roman" w:eastAsia="仿宋_GB2312" w:cs="宋体"/>
          <w:bCs/>
          <w:kern w:val="2"/>
          <w:sz w:val="24"/>
          <w:szCs w:val="24"/>
          <w:lang w:val="en-US" w:eastAsia="zh-CN" w:bidi="ar-SA"/>
        </w:rPr>
      </w:pPr>
      <w:r>
        <w:rPr>
          <w:b/>
          <w:bCs/>
          <w:spacing w:val="-7"/>
          <w:position w:val="4"/>
        </w:rPr>
        <w:t>◆</w:t>
      </w:r>
      <w:r>
        <w:rPr>
          <w:rFonts w:hint="eastAsia" w:ascii="Times New Roman" w:hAnsi="Times New Roman" w:eastAsia="仿宋_GB2312" w:cs="宋体"/>
          <w:b/>
          <w:bCs w:val="0"/>
          <w:kern w:val="2"/>
          <w:sz w:val="24"/>
          <w:szCs w:val="24"/>
          <w:lang w:val="en-US" w:eastAsia="zh-CN" w:bidi="ar-SA"/>
        </w:rPr>
        <w:t>行政管理（管理类）</w:t>
      </w:r>
      <w:r>
        <w:rPr>
          <w:rFonts w:hint="eastAsia" w:ascii="Times New Roman" w:hAnsi="Times New Roman" w:eastAsia="仿宋_GB2312" w:cs="宋体"/>
          <w:bCs/>
          <w:kern w:val="2"/>
          <w:sz w:val="24"/>
          <w:szCs w:val="24"/>
          <w:lang w:val="en-US" w:eastAsia="zh-CN" w:bidi="ar-SA"/>
        </w:rPr>
        <w:t>：公共行政理论与实践 、公共政策分析 、社会治理与社会政策 、政府管理与创新</w:t>
      </w:r>
    </w:p>
    <w:tbl>
      <w:tblPr>
        <w:tblW w:w="715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108" w:type="dxa"/>
          <w:bottom w:w="0" w:type="dxa"/>
          <w:right w:w="108" w:type="dxa"/>
        </w:tblCellMar>
      </w:tblPr>
      <w:tblGrid>
        <w:gridCol w:w="1358"/>
        <w:gridCol w:w="5100"/>
        <w:gridCol w:w="700"/>
      </w:tblGrid>
      <w:tr w14:paraId="3A3F50A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81" w:hRule="atLeast"/>
          <w:jc w:val="center"/>
        </w:trPr>
        <w:tc>
          <w:tcPr>
            <w:tcW w:w="1358" w:type="dxa"/>
            <w:tcBorders>
              <w:top w:val="single" w:color="000000" w:sz="4" w:space="0"/>
              <w:left w:val="single" w:color="000000" w:sz="4" w:space="0"/>
              <w:bottom w:val="single" w:color="000000" w:sz="4" w:space="0"/>
              <w:right w:val="single" w:color="000000" w:sz="4" w:space="0"/>
            </w:tcBorders>
            <w:shd w:val="clear" w:color="auto" w:fill="BEBEBE"/>
            <w:vAlign w:val="center"/>
          </w:tcPr>
          <w:p w14:paraId="77EA8E28">
            <w:pPr>
              <w:keepNext w:val="0"/>
              <w:keepLines w:val="0"/>
              <w:widowControl/>
              <w:suppressLineNumbers w:val="0"/>
              <w:jc w:val="center"/>
              <w:textAlignment w:val="center"/>
              <w:rPr>
                <w:rFonts w:ascii="华文仿宋" w:hAnsi="华文仿宋" w:eastAsia="华文仿宋" w:cs="华文仿宋"/>
                <w:b/>
                <w:bCs/>
                <w:i w:val="0"/>
                <w:iCs w:val="0"/>
                <w:color w:val="000000"/>
                <w:sz w:val="20"/>
                <w:szCs w:val="20"/>
                <w:u w:val="none"/>
              </w:rPr>
            </w:pPr>
            <w:r>
              <w:rPr>
                <w:rFonts w:hint="eastAsia" w:ascii="华文仿宋" w:hAnsi="华文仿宋" w:eastAsia="华文仿宋" w:cs="华文仿宋"/>
                <w:b/>
                <w:bCs/>
                <w:i w:val="0"/>
                <w:iCs w:val="0"/>
                <w:color w:val="000000"/>
                <w:kern w:val="0"/>
                <w:sz w:val="20"/>
                <w:szCs w:val="20"/>
                <w:u w:val="none"/>
                <w:bdr w:val="none" w:color="auto" w:sz="0" w:space="0"/>
                <w:lang w:val="en-US" w:eastAsia="zh-CN" w:bidi="ar"/>
              </w:rPr>
              <w:t>课程类别</w:t>
            </w:r>
          </w:p>
        </w:tc>
        <w:tc>
          <w:tcPr>
            <w:tcW w:w="5100" w:type="dxa"/>
            <w:tcBorders>
              <w:top w:val="single" w:color="000000" w:sz="4" w:space="0"/>
              <w:left w:val="single" w:color="000000" w:sz="4" w:space="0"/>
              <w:bottom w:val="single" w:color="000000" w:sz="4" w:space="0"/>
              <w:right w:val="single" w:color="000000" w:sz="4" w:space="0"/>
            </w:tcBorders>
            <w:shd w:val="clear" w:color="auto" w:fill="BEBEBE"/>
            <w:vAlign w:val="center"/>
          </w:tcPr>
          <w:p w14:paraId="71F0EA99">
            <w:pPr>
              <w:keepNext w:val="0"/>
              <w:keepLines w:val="0"/>
              <w:widowControl/>
              <w:suppressLineNumbers w:val="0"/>
              <w:jc w:val="center"/>
              <w:textAlignment w:val="center"/>
              <w:rPr>
                <w:rFonts w:hint="eastAsia" w:ascii="华文仿宋" w:hAnsi="华文仿宋" w:eastAsia="华文仿宋" w:cs="华文仿宋"/>
                <w:b/>
                <w:bCs/>
                <w:i w:val="0"/>
                <w:iCs w:val="0"/>
                <w:color w:val="000000"/>
                <w:sz w:val="20"/>
                <w:szCs w:val="20"/>
                <w:u w:val="none"/>
              </w:rPr>
            </w:pPr>
            <w:r>
              <w:rPr>
                <w:rFonts w:hint="eastAsia" w:ascii="华文仿宋" w:hAnsi="华文仿宋" w:eastAsia="华文仿宋" w:cs="华文仿宋"/>
                <w:b/>
                <w:bCs/>
                <w:i w:val="0"/>
                <w:iCs w:val="0"/>
                <w:color w:val="000000"/>
                <w:kern w:val="0"/>
                <w:sz w:val="20"/>
                <w:szCs w:val="20"/>
                <w:u w:val="none"/>
                <w:bdr w:val="none" w:color="auto" w:sz="0" w:space="0"/>
                <w:lang w:val="en-US" w:eastAsia="zh-CN" w:bidi="ar"/>
              </w:rPr>
              <w:t>课程名称</w:t>
            </w:r>
          </w:p>
        </w:tc>
        <w:tc>
          <w:tcPr>
            <w:tcW w:w="700" w:type="dxa"/>
            <w:tcBorders>
              <w:top w:val="single" w:color="000000" w:sz="4" w:space="0"/>
              <w:left w:val="single" w:color="000000" w:sz="4" w:space="0"/>
              <w:bottom w:val="single" w:color="000000" w:sz="4" w:space="0"/>
              <w:right w:val="single" w:color="000000" w:sz="4" w:space="0"/>
            </w:tcBorders>
            <w:shd w:val="clear" w:color="auto" w:fill="BEBEBE"/>
            <w:vAlign w:val="center"/>
          </w:tcPr>
          <w:p w14:paraId="4D21EAFD">
            <w:pPr>
              <w:keepNext w:val="0"/>
              <w:keepLines w:val="0"/>
              <w:widowControl/>
              <w:suppressLineNumbers w:val="0"/>
              <w:jc w:val="center"/>
              <w:textAlignment w:val="center"/>
              <w:rPr>
                <w:rFonts w:hint="eastAsia" w:ascii="华文仿宋" w:hAnsi="华文仿宋" w:eastAsia="华文仿宋" w:cs="华文仿宋"/>
                <w:b/>
                <w:bCs/>
                <w:i w:val="0"/>
                <w:iCs w:val="0"/>
                <w:color w:val="000000"/>
                <w:sz w:val="20"/>
                <w:szCs w:val="20"/>
                <w:u w:val="none"/>
              </w:rPr>
            </w:pPr>
            <w:r>
              <w:rPr>
                <w:rFonts w:hint="eastAsia" w:ascii="华文仿宋" w:hAnsi="华文仿宋" w:eastAsia="华文仿宋" w:cs="华文仿宋"/>
                <w:b/>
                <w:bCs/>
                <w:i w:val="0"/>
                <w:iCs w:val="0"/>
                <w:color w:val="000000"/>
                <w:kern w:val="0"/>
                <w:sz w:val="20"/>
                <w:szCs w:val="20"/>
                <w:u w:val="none"/>
                <w:bdr w:val="none" w:color="auto" w:sz="0" w:space="0"/>
                <w:lang w:val="en-US" w:eastAsia="zh-CN" w:bidi="ar"/>
              </w:rPr>
              <w:t>学分</w:t>
            </w:r>
          </w:p>
        </w:tc>
      </w:tr>
      <w:tr w14:paraId="2DA9EC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4" w:hRule="atLeast"/>
          <w:jc w:val="center"/>
        </w:trPr>
        <w:tc>
          <w:tcPr>
            <w:tcW w:w="1358" w:type="dxa"/>
            <w:vMerge w:val="restart"/>
            <w:tcBorders>
              <w:top w:val="single" w:color="000000" w:sz="4" w:space="0"/>
              <w:left w:val="single" w:color="000000" w:sz="4" w:space="0"/>
              <w:bottom w:val="single" w:color="000000" w:sz="4" w:space="0"/>
              <w:right w:val="single" w:color="000000" w:sz="4" w:space="0"/>
            </w:tcBorders>
            <w:shd w:val="clear"/>
            <w:vAlign w:val="center"/>
          </w:tcPr>
          <w:p w14:paraId="047EF445">
            <w:pPr>
              <w:keepNext w:val="0"/>
              <w:keepLines w:val="0"/>
              <w:widowControl/>
              <w:suppressLineNumbers w:val="0"/>
              <w:jc w:val="center"/>
              <w:textAlignment w:val="center"/>
              <w:rPr>
                <w:rFonts w:hint="eastAsia" w:ascii="华文仿宋" w:hAnsi="华文仿宋" w:eastAsia="华文仿宋" w:cs="华文仿宋"/>
                <w:i w:val="0"/>
                <w:iCs w:val="0"/>
                <w:color w:val="000000"/>
                <w:sz w:val="20"/>
                <w:szCs w:val="20"/>
                <w:u w:val="none"/>
              </w:rPr>
            </w:pPr>
            <w:r>
              <w:rPr>
                <w:rFonts w:hint="eastAsia" w:ascii="华文仿宋" w:hAnsi="华文仿宋" w:eastAsia="华文仿宋" w:cs="华文仿宋"/>
                <w:i w:val="0"/>
                <w:iCs w:val="0"/>
                <w:color w:val="000000"/>
                <w:kern w:val="0"/>
                <w:sz w:val="20"/>
                <w:szCs w:val="20"/>
                <w:u w:val="none"/>
                <w:bdr w:val="none" w:color="auto" w:sz="0" w:space="0"/>
                <w:lang w:val="en-US" w:eastAsia="zh-CN" w:bidi="ar"/>
              </w:rPr>
              <w:t>公共课</w:t>
            </w:r>
          </w:p>
        </w:tc>
        <w:tc>
          <w:tcPr>
            <w:tcW w:w="5100" w:type="dxa"/>
            <w:tcBorders>
              <w:top w:val="single" w:color="000000" w:sz="4" w:space="0"/>
              <w:left w:val="single" w:color="000000" w:sz="4" w:space="0"/>
              <w:bottom w:val="single" w:color="000000" w:sz="4" w:space="0"/>
              <w:right w:val="single" w:color="000000" w:sz="4" w:space="0"/>
            </w:tcBorders>
            <w:shd w:val="clear"/>
            <w:vAlign w:val="center"/>
          </w:tcPr>
          <w:p w14:paraId="701C46F7">
            <w:pPr>
              <w:keepNext w:val="0"/>
              <w:keepLines w:val="0"/>
              <w:widowControl/>
              <w:suppressLineNumbers w:val="0"/>
              <w:jc w:val="center"/>
              <w:textAlignment w:val="center"/>
              <w:rPr>
                <w:rFonts w:hint="eastAsia" w:ascii="华文仿宋" w:hAnsi="华文仿宋" w:eastAsia="华文仿宋" w:cs="华文仿宋"/>
                <w:i w:val="0"/>
                <w:iCs w:val="0"/>
                <w:color w:val="000000"/>
                <w:sz w:val="20"/>
                <w:szCs w:val="20"/>
                <w:u w:val="none"/>
              </w:rPr>
            </w:pPr>
            <w:r>
              <w:rPr>
                <w:rFonts w:hint="eastAsia" w:ascii="华文仿宋" w:hAnsi="华文仿宋" w:eastAsia="华文仿宋" w:cs="华文仿宋"/>
                <w:i w:val="0"/>
                <w:iCs w:val="0"/>
                <w:color w:val="000000"/>
                <w:kern w:val="0"/>
                <w:sz w:val="20"/>
                <w:szCs w:val="20"/>
                <w:u w:val="none"/>
                <w:bdr w:val="none" w:color="auto" w:sz="0" w:space="0"/>
                <w:lang w:val="en-US" w:eastAsia="zh-CN" w:bidi="ar"/>
              </w:rPr>
              <w:t>中国特色社会主义理论与实践</w:t>
            </w:r>
          </w:p>
        </w:tc>
        <w:tc>
          <w:tcPr>
            <w:tcW w:w="700" w:type="dxa"/>
            <w:tcBorders>
              <w:top w:val="single" w:color="000000" w:sz="4" w:space="0"/>
              <w:left w:val="single" w:color="000000" w:sz="4" w:space="0"/>
              <w:bottom w:val="single" w:color="000000" w:sz="4" w:space="0"/>
              <w:right w:val="single" w:color="000000" w:sz="4" w:space="0"/>
            </w:tcBorders>
            <w:shd w:val="clear"/>
            <w:vAlign w:val="center"/>
          </w:tcPr>
          <w:p w14:paraId="4B80BD71">
            <w:pPr>
              <w:keepNext w:val="0"/>
              <w:keepLines w:val="0"/>
              <w:widowControl/>
              <w:suppressLineNumbers w:val="0"/>
              <w:jc w:val="center"/>
              <w:textAlignment w:val="center"/>
              <w:rPr>
                <w:rFonts w:hint="eastAsia" w:ascii="华文仿宋" w:hAnsi="华文仿宋" w:eastAsia="华文仿宋" w:cs="华文仿宋"/>
                <w:i w:val="0"/>
                <w:iCs w:val="0"/>
                <w:color w:val="000000"/>
                <w:sz w:val="20"/>
                <w:szCs w:val="20"/>
                <w:u w:val="none"/>
              </w:rPr>
            </w:pPr>
            <w:r>
              <w:rPr>
                <w:rFonts w:hint="eastAsia" w:ascii="华文仿宋" w:hAnsi="华文仿宋" w:eastAsia="华文仿宋" w:cs="华文仿宋"/>
                <w:i w:val="0"/>
                <w:iCs w:val="0"/>
                <w:color w:val="000000"/>
                <w:kern w:val="0"/>
                <w:sz w:val="20"/>
                <w:szCs w:val="20"/>
                <w:u w:val="none"/>
                <w:bdr w:val="none" w:color="auto" w:sz="0" w:space="0"/>
                <w:lang w:val="en-US" w:eastAsia="zh-CN" w:bidi="ar"/>
              </w:rPr>
              <w:t>1</w:t>
            </w:r>
          </w:p>
        </w:tc>
      </w:tr>
      <w:tr w14:paraId="524B5F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5" w:hRule="atLeast"/>
          <w:jc w:val="center"/>
        </w:trPr>
        <w:tc>
          <w:tcPr>
            <w:tcW w:w="1358" w:type="dxa"/>
            <w:vMerge w:val="continue"/>
            <w:tcBorders>
              <w:top w:val="single" w:color="000000" w:sz="4" w:space="0"/>
              <w:left w:val="single" w:color="000000" w:sz="4" w:space="0"/>
              <w:bottom w:val="single" w:color="000000" w:sz="4" w:space="0"/>
              <w:right w:val="single" w:color="000000" w:sz="4" w:space="0"/>
            </w:tcBorders>
            <w:shd w:val="clear"/>
            <w:vAlign w:val="center"/>
          </w:tcPr>
          <w:p w14:paraId="1D090DAC">
            <w:pPr>
              <w:jc w:val="center"/>
              <w:rPr>
                <w:rFonts w:hint="eastAsia" w:ascii="华文仿宋" w:hAnsi="华文仿宋" w:eastAsia="华文仿宋" w:cs="华文仿宋"/>
                <w:i w:val="0"/>
                <w:iCs w:val="0"/>
                <w:color w:val="000000"/>
                <w:sz w:val="20"/>
                <w:szCs w:val="20"/>
                <w:u w:val="none"/>
              </w:rPr>
            </w:pPr>
          </w:p>
        </w:tc>
        <w:tc>
          <w:tcPr>
            <w:tcW w:w="5100" w:type="dxa"/>
            <w:tcBorders>
              <w:top w:val="single" w:color="000000" w:sz="4" w:space="0"/>
              <w:left w:val="single" w:color="000000" w:sz="4" w:space="0"/>
              <w:bottom w:val="single" w:color="000000" w:sz="4" w:space="0"/>
              <w:right w:val="single" w:color="000000" w:sz="4" w:space="0"/>
            </w:tcBorders>
            <w:shd w:val="clear"/>
            <w:vAlign w:val="center"/>
          </w:tcPr>
          <w:p w14:paraId="40022C6C">
            <w:pPr>
              <w:keepNext w:val="0"/>
              <w:keepLines w:val="0"/>
              <w:widowControl/>
              <w:suppressLineNumbers w:val="0"/>
              <w:jc w:val="center"/>
              <w:textAlignment w:val="center"/>
              <w:rPr>
                <w:rFonts w:hint="eastAsia" w:ascii="华文仿宋" w:hAnsi="华文仿宋" w:eastAsia="华文仿宋" w:cs="华文仿宋"/>
                <w:i w:val="0"/>
                <w:iCs w:val="0"/>
                <w:color w:val="000000"/>
                <w:sz w:val="20"/>
                <w:szCs w:val="20"/>
                <w:u w:val="none"/>
              </w:rPr>
            </w:pPr>
            <w:r>
              <w:rPr>
                <w:rFonts w:hint="eastAsia" w:ascii="华文仿宋" w:hAnsi="华文仿宋" w:eastAsia="华文仿宋" w:cs="华文仿宋"/>
                <w:i w:val="0"/>
                <w:iCs w:val="0"/>
                <w:color w:val="000000"/>
                <w:kern w:val="0"/>
                <w:sz w:val="20"/>
                <w:szCs w:val="20"/>
                <w:u w:val="none"/>
                <w:bdr w:val="none" w:color="auto" w:sz="0" w:space="0"/>
                <w:lang w:val="en-US" w:eastAsia="zh-CN" w:bidi="ar"/>
              </w:rPr>
              <w:t>公共英语</w:t>
            </w:r>
          </w:p>
        </w:tc>
        <w:tc>
          <w:tcPr>
            <w:tcW w:w="700" w:type="dxa"/>
            <w:tcBorders>
              <w:top w:val="single" w:color="000000" w:sz="4" w:space="0"/>
              <w:left w:val="single" w:color="000000" w:sz="4" w:space="0"/>
              <w:bottom w:val="single" w:color="000000" w:sz="4" w:space="0"/>
              <w:right w:val="single" w:color="000000" w:sz="4" w:space="0"/>
            </w:tcBorders>
            <w:shd w:val="clear"/>
            <w:vAlign w:val="center"/>
          </w:tcPr>
          <w:p w14:paraId="6379C2C7">
            <w:pPr>
              <w:keepNext w:val="0"/>
              <w:keepLines w:val="0"/>
              <w:widowControl/>
              <w:suppressLineNumbers w:val="0"/>
              <w:jc w:val="center"/>
              <w:textAlignment w:val="center"/>
              <w:rPr>
                <w:rFonts w:hint="eastAsia" w:ascii="华文仿宋" w:hAnsi="华文仿宋" w:eastAsia="华文仿宋" w:cs="华文仿宋"/>
                <w:i w:val="0"/>
                <w:iCs w:val="0"/>
                <w:color w:val="000000"/>
                <w:sz w:val="20"/>
                <w:szCs w:val="20"/>
                <w:u w:val="none"/>
              </w:rPr>
            </w:pPr>
            <w:r>
              <w:rPr>
                <w:rFonts w:hint="eastAsia" w:ascii="华文仿宋" w:hAnsi="华文仿宋" w:eastAsia="华文仿宋" w:cs="华文仿宋"/>
                <w:i w:val="0"/>
                <w:iCs w:val="0"/>
                <w:color w:val="000000"/>
                <w:kern w:val="0"/>
                <w:sz w:val="20"/>
                <w:szCs w:val="20"/>
                <w:u w:val="none"/>
                <w:bdr w:val="none" w:color="auto" w:sz="0" w:space="0"/>
                <w:lang w:val="en-US" w:eastAsia="zh-CN" w:bidi="ar"/>
              </w:rPr>
              <w:t>2</w:t>
            </w:r>
          </w:p>
        </w:tc>
      </w:tr>
      <w:tr w14:paraId="0C7ED5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5" w:hRule="atLeast"/>
          <w:jc w:val="center"/>
        </w:trPr>
        <w:tc>
          <w:tcPr>
            <w:tcW w:w="1358" w:type="dxa"/>
            <w:vMerge w:val="continue"/>
            <w:tcBorders>
              <w:top w:val="single" w:color="000000" w:sz="4" w:space="0"/>
              <w:left w:val="single" w:color="000000" w:sz="4" w:space="0"/>
              <w:bottom w:val="single" w:color="000000" w:sz="4" w:space="0"/>
              <w:right w:val="single" w:color="000000" w:sz="4" w:space="0"/>
            </w:tcBorders>
            <w:shd w:val="clear"/>
            <w:vAlign w:val="center"/>
          </w:tcPr>
          <w:p w14:paraId="39FA7374">
            <w:pPr>
              <w:jc w:val="center"/>
              <w:rPr>
                <w:rFonts w:hint="eastAsia" w:ascii="华文仿宋" w:hAnsi="华文仿宋" w:eastAsia="华文仿宋" w:cs="华文仿宋"/>
                <w:i w:val="0"/>
                <w:iCs w:val="0"/>
                <w:color w:val="000000"/>
                <w:sz w:val="20"/>
                <w:szCs w:val="20"/>
                <w:u w:val="none"/>
              </w:rPr>
            </w:pPr>
          </w:p>
        </w:tc>
        <w:tc>
          <w:tcPr>
            <w:tcW w:w="5100" w:type="dxa"/>
            <w:tcBorders>
              <w:top w:val="single" w:color="000000" w:sz="4" w:space="0"/>
              <w:left w:val="single" w:color="000000" w:sz="4" w:space="0"/>
              <w:bottom w:val="single" w:color="000000" w:sz="4" w:space="0"/>
              <w:right w:val="single" w:color="000000" w:sz="4" w:space="0"/>
            </w:tcBorders>
            <w:shd w:val="clear"/>
            <w:vAlign w:val="center"/>
          </w:tcPr>
          <w:p w14:paraId="6E73B2EA">
            <w:pPr>
              <w:keepNext w:val="0"/>
              <w:keepLines w:val="0"/>
              <w:widowControl/>
              <w:suppressLineNumbers w:val="0"/>
              <w:jc w:val="center"/>
              <w:textAlignment w:val="center"/>
              <w:rPr>
                <w:rFonts w:hint="eastAsia" w:ascii="华文仿宋" w:hAnsi="华文仿宋" w:eastAsia="华文仿宋" w:cs="华文仿宋"/>
                <w:i w:val="0"/>
                <w:iCs w:val="0"/>
                <w:color w:val="000000"/>
                <w:sz w:val="20"/>
                <w:szCs w:val="20"/>
                <w:u w:val="none"/>
              </w:rPr>
            </w:pPr>
            <w:r>
              <w:rPr>
                <w:rFonts w:hint="eastAsia" w:ascii="华文仿宋" w:hAnsi="华文仿宋" w:eastAsia="华文仿宋" w:cs="华文仿宋"/>
                <w:i w:val="0"/>
                <w:iCs w:val="0"/>
                <w:color w:val="000000"/>
                <w:kern w:val="0"/>
                <w:sz w:val="20"/>
                <w:szCs w:val="20"/>
                <w:u w:val="none"/>
                <w:bdr w:val="none" w:color="auto" w:sz="0" w:space="0"/>
                <w:lang w:val="en-US" w:eastAsia="zh-CN" w:bidi="ar"/>
              </w:rPr>
              <w:t>自然辩证法概论</w:t>
            </w:r>
          </w:p>
        </w:tc>
        <w:tc>
          <w:tcPr>
            <w:tcW w:w="700" w:type="dxa"/>
            <w:tcBorders>
              <w:top w:val="single" w:color="000000" w:sz="4" w:space="0"/>
              <w:left w:val="single" w:color="000000" w:sz="4" w:space="0"/>
              <w:bottom w:val="single" w:color="000000" w:sz="4" w:space="0"/>
              <w:right w:val="single" w:color="000000" w:sz="4" w:space="0"/>
            </w:tcBorders>
            <w:shd w:val="clear"/>
            <w:vAlign w:val="center"/>
          </w:tcPr>
          <w:p w14:paraId="52A4DA9D">
            <w:pPr>
              <w:keepNext w:val="0"/>
              <w:keepLines w:val="0"/>
              <w:widowControl/>
              <w:suppressLineNumbers w:val="0"/>
              <w:jc w:val="center"/>
              <w:textAlignment w:val="center"/>
              <w:rPr>
                <w:rFonts w:hint="eastAsia" w:ascii="华文仿宋" w:hAnsi="华文仿宋" w:eastAsia="华文仿宋" w:cs="华文仿宋"/>
                <w:i w:val="0"/>
                <w:iCs w:val="0"/>
                <w:color w:val="000000"/>
                <w:sz w:val="20"/>
                <w:szCs w:val="20"/>
                <w:u w:val="none"/>
              </w:rPr>
            </w:pPr>
            <w:r>
              <w:rPr>
                <w:rFonts w:hint="eastAsia" w:ascii="华文仿宋" w:hAnsi="华文仿宋" w:eastAsia="华文仿宋" w:cs="华文仿宋"/>
                <w:i w:val="0"/>
                <w:iCs w:val="0"/>
                <w:color w:val="000000"/>
                <w:kern w:val="0"/>
                <w:sz w:val="20"/>
                <w:szCs w:val="20"/>
                <w:u w:val="none"/>
                <w:bdr w:val="none" w:color="auto" w:sz="0" w:space="0"/>
                <w:lang w:val="en-US" w:eastAsia="zh-CN" w:bidi="ar"/>
              </w:rPr>
              <w:t>1</w:t>
            </w:r>
          </w:p>
        </w:tc>
      </w:tr>
      <w:tr w14:paraId="6F1134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5" w:hRule="atLeast"/>
          <w:jc w:val="center"/>
        </w:trPr>
        <w:tc>
          <w:tcPr>
            <w:tcW w:w="1358" w:type="dxa"/>
            <w:vMerge w:val="restart"/>
            <w:tcBorders>
              <w:top w:val="single" w:color="000000" w:sz="4" w:space="0"/>
              <w:left w:val="single" w:color="000000" w:sz="4" w:space="0"/>
              <w:bottom w:val="single" w:color="000000" w:sz="4" w:space="0"/>
              <w:right w:val="single" w:color="000000" w:sz="4" w:space="0"/>
            </w:tcBorders>
            <w:shd w:val="clear"/>
            <w:vAlign w:val="center"/>
          </w:tcPr>
          <w:p w14:paraId="5A26DBE5">
            <w:pPr>
              <w:keepNext w:val="0"/>
              <w:keepLines w:val="0"/>
              <w:widowControl/>
              <w:suppressLineNumbers w:val="0"/>
              <w:jc w:val="center"/>
              <w:textAlignment w:val="center"/>
              <w:rPr>
                <w:rFonts w:hint="eastAsia" w:ascii="华文仿宋" w:hAnsi="华文仿宋" w:eastAsia="华文仿宋" w:cs="华文仿宋"/>
                <w:i w:val="0"/>
                <w:iCs w:val="0"/>
                <w:color w:val="000000"/>
                <w:sz w:val="20"/>
                <w:szCs w:val="20"/>
                <w:u w:val="none"/>
              </w:rPr>
            </w:pPr>
            <w:r>
              <w:rPr>
                <w:rFonts w:hint="eastAsia" w:ascii="华文仿宋" w:hAnsi="华文仿宋" w:eastAsia="华文仿宋" w:cs="华文仿宋"/>
                <w:i w:val="0"/>
                <w:iCs w:val="0"/>
                <w:color w:val="000000"/>
                <w:kern w:val="0"/>
                <w:sz w:val="20"/>
                <w:szCs w:val="20"/>
                <w:u w:val="none"/>
                <w:bdr w:val="none" w:color="auto" w:sz="0" w:space="0"/>
                <w:lang w:val="en-US" w:eastAsia="zh-CN" w:bidi="ar"/>
              </w:rPr>
              <w:t>必修课</w:t>
            </w:r>
          </w:p>
        </w:tc>
        <w:tc>
          <w:tcPr>
            <w:tcW w:w="5100" w:type="dxa"/>
            <w:tcBorders>
              <w:top w:val="single" w:color="000000" w:sz="4" w:space="0"/>
              <w:left w:val="single" w:color="000000" w:sz="4" w:space="0"/>
              <w:bottom w:val="single" w:color="000000" w:sz="4" w:space="0"/>
              <w:right w:val="single" w:color="000000" w:sz="4" w:space="0"/>
            </w:tcBorders>
            <w:shd w:val="clear"/>
            <w:vAlign w:val="center"/>
          </w:tcPr>
          <w:p w14:paraId="6C5DB888">
            <w:pPr>
              <w:keepNext w:val="0"/>
              <w:keepLines w:val="0"/>
              <w:widowControl/>
              <w:suppressLineNumbers w:val="0"/>
              <w:jc w:val="center"/>
              <w:textAlignment w:val="center"/>
              <w:rPr>
                <w:rFonts w:hint="eastAsia" w:ascii="华文仿宋" w:hAnsi="华文仿宋" w:eastAsia="华文仿宋" w:cs="华文仿宋"/>
                <w:i w:val="0"/>
                <w:iCs w:val="0"/>
                <w:color w:val="000000"/>
                <w:sz w:val="20"/>
                <w:szCs w:val="20"/>
                <w:u w:val="none"/>
              </w:rPr>
            </w:pPr>
            <w:r>
              <w:rPr>
                <w:rFonts w:hint="eastAsia" w:ascii="华文仿宋" w:hAnsi="华文仿宋" w:eastAsia="华文仿宋" w:cs="华文仿宋"/>
                <w:i w:val="0"/>
                <w:iCs w:val="0"/>
                <w:color w:val="000000"/>
                <w:kern w:val="0"/>
                <w:sz w:val="20"/>
                <w:szCs w:val="20"/>
                <w:u w:val="none"/>
                <w:bdr w:val="none" w:color="auto" w:sz="0" w:space="0"/>
                <w:lang w:val="en-US" w:eastAsia="zh-CN" w:bidi="ar"/>
              </w:rPr>
              <w:t>公共管理学</w:t>
            </w:r>
          </w:p>
        </w:tc>
        <w:tc>
          <w:tcPr>
            <w:tcW w:w="700" w:type="dxa"/>
            <w:tcBorders>
              <w:top w:val="single" w:color="000000" w:sz="4" w:space="0"/>
              <w:left w:val="single" w:color="000000" w:sz="4" w:space="0"/>
              <w:bottom w:val="single" w:color="000000" w:sz="4" w:space="0"/>
              <w:right w:val="single" w:color="000000" w:sz="4" w:space="0"/>
            </w:tcBorders>
            <w:shd w:val="clear"/>
            <w:vAlign w:val="center"/>
          </w:tcPr>
          <w:p w14:paraId="19B4CE6F">
            <w:pPr>
              <w:keepNext w:val="0"/>
              <w:keepLines w:val="0"/>
              <w:widowControl/>
              <w:suppressLineNumbers w:val="0"/>
              <w:jc w:val="center"/>
              <w:textAlignment w:val="center"/>
              <w:rPr>
                <w:rFonts w:hint="eastAsia" w:ascii="华文仿宋" w:hAnsi="华文仿宋" w:eastAsia="华文仿宋" w:cs="华文仿宋"/>
                <w:i w:val="0"/>
                <w:iCs w:val="0"/>
                <w:color w:val="000000"/>
                <w:sz w:val="20"/>
                <w:szCs w:val="20"/>
                <w:u w:val="none"/>
              </w:rPr>
            </w:pPr>
            <w:r>
              <w:rPr>
                <w:rFonts w:hint="eastAsia" w:ascii="华文仿宋" w:hAnsi="华文仿宋" w:eastAsia="华文仿宋" w:cs="华文仿宋"/>
                <w:i w:val="0"/>
                <w:iCs w:val="0"/>
                <w:color w:val="000000"/>
                <w:kern w:val="0"/>
                <w:sz w:val="20"/>
                <w:szCs w:val="20"/>
                <w:u w:val="none"/>
                <w:bdr w:val="none" w:color="auto" w:sz="0" w:space="0"/>
                <w:lang w:val="en-US" w:eastAsia="zh-CN" w:bidi="ar"/>
              </w:rPr>
              <w:t>2</w:t>
            </w:r>
          </w:p>
        </w:tc>
      </w:tr>
      <w:tr w14:paraId="695D12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5" w:hRule="atLeast"/>
          <w:jc w:val="center"/>
        </w:trPr>
        <w:tc>
          <w:tcPr>
            <w:tcW w:w="1358" w:type="dxa"/>
            <w:vMerge w:val="continue"/>
            <w:tcBorders>
              <w:top w:val="single" w:color="000000" w:sz="4" w:space="0"/>
              <w:left w:val="single" w:color="000000" w:sz="4" w:space="0"/>
              <w:bottom w:val="single" w:color="000000" w:sz="4" w:space="0"/>
              <w:right w:val="single" w:color="000000" w:sz="4" w:space="0"/>
            </w:tcBorders>
            <w:shd w:val="clear"/>
            <w:vAlign w:val="center"/>
          </w:tcPr>
          <w:p w14:paraId="2BFA3196">
            <w:pPr>
              <w:jc w:val="center"/>
              <w:rPr>
                <w:rFonts w:hint="eastAsia" w:ascii="华文仿宋" w:hAnsi="华文仿宋" w:eastAsia="华文仿宋" w:cs="华文仿宋"/>
                <w:i w:val="0"/>
                <w:iCs w:val="0"/>
                <w:color w:val="000000"/>
                <w:sz w:val="20"/>
                <w:szCs w:val="20"/>
                <w:u w:val="none"/>
              </w:rPr>
            </w:pPr>
          </w:p>
        </w:tc>
        <w:tc>
          <w:tcPr>
            <w:tcW w:w="5100" w:type="dxa"/>
            <w:tcBorders>
              <w:top w:val="single" w:color="000000" w:sz="4" w:space="0"/>
              <w:left w:val="single" w:color="000000" w:sz="4" w:space="0"/>
              <w:bottom w:val="single" w:color="000000" w:sz="4" w:space="0"/>
              <w:right w:val="single" w:color="000000" w:sz="4" w:space="0"/>
            </w:tcBorders>
            <w:shd w:val="clear"/>
            <w:vAlign w:val="center"/>
          </w:tcPr>
          <w:p w14:paraId="71F25F0B">
            <w:pPr>
              <w:keepNext w:val="0"/>
              <w:keepLines w:val="0"/>
              <w:widowControl/>
              <w:suppressLineNumbers w:val="0"/>
              <w:jc w:val="center"/>
              <w:textAlignment w:val="center"/>
              <w:rPr>
                <w:rFonts w:hint="eastAsia" w:ascii="华文仿宋" w:hAnsi="华文仿宋" w:eastAsia="华文仿宋" w:cs="华文仿宋"/>
                <w:i w:val="0"/>
                <w:iCs w:val="0"/>
                <w:color w:val="000000"/>
                <w:sz w:val="20"/>
                <w:szCs w:val="20"/>
                <w:u w:val="none"/>
              </w:rPr>
            </w:pPr>
            <w:r>
              <w:rPr>
                <w:rFonts w:hint="eastAsia" w:ascii="华文仿宋" w:hAnsi="华文仿宋" w:eastAsia="华文仿宋" w:cs="华文仿宋"/>
                <w:i w:val="0"/>
                <w:iCs w:val="0"/>
                <w:color w:val="000000"/>
                <w:kern w:val="0"/>
                <w:sz w:val="20"/>
                <w:szCs w:val="20"/>
                <w:u w:val="none"/>
                <w:bdr w:val="none" w:color="auto" w:sz="0" w:space="0"/>
                <w:lang w:val="en-US" w:eastAsia="zh-CN" w:bidi="ar"/>
              </w:rPr>
              <w:t>公共经济学</w:t>
            </w:r>
          </w:p>
        </w:tc>
        <w:tc>
          <w:tcPr>
            <w:tcW w:w="700" w:type="dxa"/>
            <w:tcBorders>
              <w:top w:val="single" w:color="000000" w:sz="4" w:space="0"/>
              <w:left w:val="single" w:color="000000" w:sz="4" w:space="0"/>
              <w:bottom w:val="single" w:color="000000" w:sz="4" w:space="0"/>
              <w:right w:val="single" w:color="000000" w:sz="4" w:space="0"/>
            </w:tcBorders>
            <w:shd w:val="clear"/>
            <w:vAlign w:val="center"/>
          </w:tcPr>
          <w:p w14:paraId="15330AEC">
            <w:pPr>
              <w:keepNext w:val="0"/>
              <w:keepLines w:val="0"/>
              <w:widowControl/>
              <w:suppressLineNumbers w:val="0"/>
              <w:jc w:val="center"/>
              <w:textAlignment w:val="center"/>
              <w:rPr>
                <w:rFonts w:hint="eastAsia" w:ascii="华文仿宋" w:hAnsi="华文仿宋" w:eastAsia="华文仿宋" w:cs="华文仿宋"/>
                <w:i w:val="0"/>
                <w:iCs w:val="0"/>
                <w:color w:val="000000"/>
                <w:sz w:val="20"/>
                <w:szCs w:val="20"/>
                <w:u w:val="none"/>
              </w:rPr>
            </w:pPr>
            <w:r>
              <w:rPr>
                <w:rFonts w:hint="eastAsia" w:ascii="华文仿宋" w:hAnsi="华文仿宋" w:eastAsia="华文仿宋" w:cs="华文仿宋"/>
                <w:i w:val="0"/>
                <w:iCs w:val="0"/>
                <w:color w:val="000000"/>
                <w:kern w:val="0"/>
                <w:sz w:val="20"/>
                <w:szCs w:val="20"/>
                <w:u w:val="none"/>
                <w:bdr w:val="none" w:color="auto" w:sz="0" w:space="0"/>
                <w:lang w:val="en-US" w:eastAsia="zh-CN" w:bidi="ar"/>
              </w:rPr>
              <w:t>2</w:t>
            </w:r>
          </w:p>
        </w:tc>
      </w:tr>
      <w:tr w14:paraId="1138A9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5" w:hRule="atLeast"/>
          <w:jc w:val="center"/>
        </w:trPr>
        <w:tc>
          <w:tcPr>
            <w:tcW w:w="1358" w:type="dxa"/>
            <w:vMerge w:val="continue"/>
            <w:tcBorders>
              <w:top w:val="single" w:color="000000" w:sz="4" w:space="0"/>
              <w:left w:val="single" w:color="000000" w:sz="4" w:space="0"/>
              <w:bottom w:val="single" w:color="000000" w:sz="4" w:space="0"/>
              <w:right w:val="single" w:color="000000" w:sz="4" w:space="0"/>
            </w:tcBorders>
            <w:shd w:val="clear"/>
            <w:vAlign w:val="center"/>
          </w:tcPr>
          <w:p w14:paraId="23116131">
            <w:pPr>
              <w:jc w:val="center"/>
              <w:rPr>
                <w:rFonts w:hint="eastAsia" w:ascii="华文仿宋" w:hAnsi="华文仿宋" w:eastAsia="华文仿宋" w:cs="华文仿宋"/>
                <w:i w:val="0"/>
                <w:iCs w:val="0"/>
                <w:color w:val="000000"/>
                <w:sz w:val="20"/>
                <w:szCs w:val="20"/>
                <w:u w:val="none"/>
              </w:rPr>
            </w:pPr>
          </w:p>
        </w:tc>
        <w:tc>
          <w:tcPr>
            <w:tcW w:w="5100" w:type="dxa"/>
            <w:tcBorders>
              <w:top w:val="single" w:color="000000" w:sz="4" w:space="0"/>
              <w:left w:val="single" w:color="000000" w:sz="4" w:space="0"/>
              <w:bottom w:val="single" w:color="000000" w:sz="4" w:space="0"/>
              <w:right w:val="single" w:color="000000" w:sz="4" w:space="0"/>
            </w:tcBorders>
            <w:shd w:val="clear"/>
            <w:vAlign w:val="center"/>
          </w:tcPr>
          <w:p w14:paraId="0E4BF536">
            <w:pPr>
              <w:keepNext w:val="0"/>
              <w:keepLines w:val="0"/>
              <w:widowControl/>
              <w:suppressLineNumbers w:val="0"/>
              <w:jc w:val="center"/>
              <w:textAlignment w:val="center"/>
              <w:rPr>
                <w:rFonts w:hint="eastAsia" w:ascii="华文仿宋" w:hAnsi="华文仿宋" w:eastAsia="华文仿宋" w:cs="华文仿宋"/>
                <w:i w:val="0"/>
                <w:iCs w:val="0"/>
                <w:color w:val="000000"/>
                <w:sz w:val="20"/>
                <w:szCs w:val="20"/>
                <w:u w:val="none"/>
              </w:rPr>
            </w:pPr>
            <w:r>
              <w:rPr>
                <w:rFonts w:hint="eastAsia" w:ascii="华文仿宋" w:hAnsi="华文仿宋" w:eastAsia="华文仿宋" w:cs="华文仿宋"/>
                <w:i w:val="0"/>
                <w:iCs w:val="0"/>
                <w:color w:val="000000"/>
                <w:kern w:val="0"/>
                <w:sz w:val="20"/>
                <w:szCs w:val="20"/>
                <w:u w:val="none"/>
                <w:bdr w:val="none" w:color="auto" w:sz="0" w:space="0"/>
                <w:lang w:val="en-US" w:eastAsia="zh-CN" w:bidi="ar"/>
              </w:rPr>
              <w:t>公共管理研究方法</w:t>
            </w:r>
          </w:p>
        </w:tc>
        <w:tc>
          <w:tcPr>
            <w:tcW w:w="700" w:type="dxa"/>
            <w:tcBorders>
              <w:top w:val="single" w:color="000000" w:sz="4" w:space="0"/>
              <w:left w:val="single" w:color="000000" w:sz="4" w:space="0"/>
              <w:bottom w:val="single" w:color="000000" w:sz="4" w:space="0"/>
              <w:right w:val="single" w:color="000000" w:sz="4" w:space="0"/>
            </w:tcBorders>
            <w:shd w:val="clear"/>
            <w:vAlign w:val="center"/>
          </w:tcPr>
          <w:p w14:paraId="13340918">
            <w:pPr>
              <w:keepNext w:val="0"/>
              <w:keepLines w:val="0"/>
              <w:widowControl/>
              <w:suppressLineNumbers w:val="0"/>
              <w:jc w:val="center"/>
              <w:textAlignment w:val="center"/>
              <w:rPr>
                <w:rFonts w:hint="eastAsia" w:ascii="华文仿宋" w:hAnsi="华文仿宋" w:eastAsia="华文仿宋" w:cs="华文仿宋"/>
                <w:i w:val="0"/>
                <w:iCs w:val="0"/>
                <w:color w:val="000000"/>
                <w:sz w:val="20"/>
                <w:szCs w:val="20"/>
                <w:u w:val="none"/>
              </w:rPr>
            </w:pPr>
            <w:r>
              <w:rPr>
                <w:rFonts w:hint="eastAsia" w:ascii="华文仿宋" w:hAnsi="华文仿宋" w:eastAsia="华文仿宋" w:cs="华文仿宋"/>
                <w:i w:val="0"/>
                <w:iCs w:val="0"/>
                <w:color w:val="000000"/>
                <w:kern w:val="0"/>
                <w:sz w:val="20"/>
                <w:szCs w:val="20"/>
                <w:u w:val="none"/>
                <w:bdr w:val="none" w:color="auto" w:sz="0" w:space="0"/>
                <w:lang w:val="en-US" w:eastAsia="zh-CN" w:bidi="ar"/>
              </w:rPr>
              <w:t>2</w:t>
            </w:r>
          </w:p>
        </w:tc>
      </w:tr>
      <w:tr w14:paraId="560C56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5" w:hRule="atLeast"/>
          <w:jc w:val="center"/>
        </w:trPr>
        <w:tc>
          <w:tcPr>
            <w:tcW w:w="1358" w:type="dxa"/>
            <w:vMerge w:val="continue"/>
            <w:tcBorders>
              <w:top w:val="single" w:color="000000" w:sz="4" w:space="0"/>
              <w:left w:val="single" w:color="000000" w:sz="4" w:space="0"/>
              <w:bottom w:val="single" w:color="000000" w:sz="4" w:space="0"/>
              <w:right w:val="single" w:color="000000" w:sz="4" w:space="0"/>
            </w:tcBorders>
            <w:shd w:val="clear"/>
            <w:vAlign w:val="center"/>
          </w:tcPr>
          <w:p w14:paraId="39DA50C6">
            <w:pPr>
              <w:jc w:val="center"/>
              <w:rPr>
                <w:rFonts w:hint="eastAsia" w:ascii="华文仿宋" w:hAnsi="华文仿宋" w:eastAsia="华文仿宋" w:cs="华文仿宋"/>
                <w:i w:val="0"/>
                <w:iCs w:val="0"/>
                <w:color w:val="000000"/>
                <w:sz w:val="20"/>
                <w:szCs w:val="20"/>
                <w:u w:val="none"/>
              </w:rPr>
            </w:pPr>
          </w:p>
        </w:tc>
        <w:tc>
          <w:tcPr>
            <w:tcW w:w="5100" w:type="dxa"/>
            <w:tcBorders>
              <w:top w:val="single" w:color="000000" w:sz="4" w:space="0"/>
              <w:left w:val="single" w:color="000000" w:sz="4" w:space="0"/>
              <w:bottom w:val="single" w:color="000000" w:sz="4" w:space="0"/>
              <w:right w:val="single" w:color="000000" w:sz="4" w:space="0"/>
            </w:tcBorders>
            <w:shd w:val="clear"/>
            <w:vAlign w:val="center"/>
          </w:tcPr>
          <w:p w14:paraId="3CDA48EE">
            <w:pPr>
              <w:keepNext w:val="0"/>
              <w:keepLines w:val="0"/>
              <w:widowControl/>
              <w:suppressLineNumbers w:val="0"/>
              <w:jc w:val="center"/>
              <w:textAlignment w:val="center"/>
              <w:rPr>
                <w:rFonts w:hint="eastAsia" w:ascii="华文仿宋" w:hAnsi="华文仿宋" w:eastAsia="华文仿宋" w:cs="华文仿宋"/>
                <w:i w:val="0"/>
                <w:iCs w:val="0"/>
                <w:color w:val="000000"/>
                <w:sz w:val="20"/>
                <w:szCs w:val="20"/>
                <w:u w:val="none"/>
              </w:rPr>
            </w:pPr>
            <w:r>
              <w:rPr>
                <w:rFonts w:hint="eastAsia" w:ascii="华文仿宋" w:hAnsi="华文仿宋" w:eastAsia="华文仿宋" w:cs="华文仿宋"/>
                <w:i w:val="0"/>
                <w:iCs w:val="0"/>
                <w:color w:val="000000"/>
                <w:kern w:val="0"/>
                <w:sz w:val="20"/>
                <w:szCs w:val="20"/>
                <w:u w:val="none"/>
                <w:bdr w:val="none" w:color="auto" w:sz="0" w:space="0"/>
                <w:lang w:val="en-US" w:eastAsia="zh-CN" w:bidi="ar"/>
              </w:rPr>
              <w:t>公共政策分析</w:t>
            </w:r>
          </w:p>
        </w:tc>
        <w:tc>
          <w:tcPr>
            <w:tcW w:w="700" w:type="dxa"/>
            <w:tcBorders>
              <w:top w:val="single" w:color="000000" w:sz="4" w:space="0"/>
              <w:left w:val="single" w:color="000000" w:sz="4" w:space="0"/>
              <w:bottom w:val="single" w:color="000000" w:sz="4" w:space="0"/>
              <w:right w:val="single" w:color="000000" w:sz="4" w:space="0"/>
            </w:tcBorders>
            <w:shd w:val="clear"/>
            <w:vAlign w:val="center"/>
          </w:tcPr>
          <w:p w14:paraId="01A1AE9B">
            <w:pPr>
              <w:keepNext w:val="0"/>
              <w:keepLines w:val="0"/>
              <w:widowControl/>
              <w:suppressLineNumbers w:val="0"/>
              <w:jc w:val="center"/>
              <w:textAlignment w:val="center"/>
              <w:rPr>
                <w:rFonts w:hint="eastAsia" w:ascii="华文仿宋" w:hAnsi="华文仿宋" w:eastAsia="华文仿宋" w:cs="华文仿宋"/>
                <w:i w:val="0"/>
                <w:iCs w:val="0"/>
                <w:color w:val="000000"/>
                <w:sz w:val="20"/>
                <w:szCs w:val="20"/>
                <w:u w:val="none"/>
              </w:rPr>
            </w:pPr>
            <w:r>
              <w:rPr>
                <w:rFonts w:hint="eastAsia" w:ascii="华文仿宋" w:hAnsi="华文仿宋" w:eastAsia="华文仿宋" w:cs="华文仿宋"/>
                <w:i w:val="0"/>
                <w:iCs w:val="0"/>
                <w:color w:val="000000"/>
                <w:kern w:val="0"/>
                <w:sz w:val="20"/>
                <w:szCs w:val="20"/>
                <w:u w:val="none"/>
                <w:bdr w:val="none" w:color="auto" w:sz="0" w:space="0"/>
                <w:lang w:val="en-US" w:eastAsia="zh-CN" w:bidi="ar"/>
              </w:rPr>
              <w:t>2</w:t>
            </w:r>
          </w:p>
        </w:tc>
      </w:tr>
      <w:tr w14:paraId="48542B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5" w:hRule="atLeast"/>
          <w:jc w:val="center"/>
        </w:trPr>
        <w:tc>
          <w:tcPr>
            <w:tcW w:w="1358" w:type="dxa"/>
            <w:vMerge w:val="continue"/>
            <w:tcBorders>
              <w:top w:val="single" w:color="000000" w:sz="4" w:space="0"/>
              <w:left w:val="single" w:color="000000" w:sz="4" w:space="0"/>
              <w:bottom w:val="single" w:color="000000" w:sz="4" w:space="0"/>
              <w:right w:val="single" w:color="000000" w:sz="4" w:space="0"/>
            </w:tcBorders>
            <w:shd w:val="clear"/>
            <w:vAlign w:val="center"/>
          </w:tcPr>
          <w:p w14:paraId="1BC15A29">
            <w:pPr>
              <w:jc w:val="center"/>
              <w:rPr>
                <w:rFonts w:hint="eastAsia" w:ascii="华文仿宋" w:hAnsi="华文仿宋" w:eastAsia="华文仿宋" w:cs="华文仿宋"/>
                <w:i w:val="0"/>
                <w:iCs w:val="0"/>
                <w:color w:val="000000"/>
                <w:sz w:val="20"/>
                <w:szCs w:val="20"/>
                <w:u w:val="none"/>
              </w:rPr>
            </w:pPr>
          </w:p>
        </w:tc>
        <w:tc>
          <w:tcPr>
            <w:tcW w:w="5100" w:type="dxa"/>
            <w:tcBorders>
              <w:top w:val="single" w:color="000000" w:sz="4" w:space="0"/>
              <w:left w:val="single" w:color="000000" w:sz="4" w:space="0"/>
              <w:bottom w:val="single" w:color="000000" w:sz="4" w:space="0"/>
              <w:right w:val="single" w:color="000000" w:sz="4" w:space="0"/>
            </w:tcBorders>
            <w:shd w:val="clear"/>
            <w:vAlign w:val="center"/>
          </w:tcPr>
          <w:p w14:paraId="2571D549">
            <w:pPr>
              <w:keepNext w:val="0"/>
              <w:keepLines w:val="0"/>
              <w:widowControl/>
              <w:suppressLineNumbers w:val="0"/>
              <w:jc w:val="center"/>
              <w:textAlignment w:val="center"/>
              <w:rPr>
                <w:rFonts w:hint="eastAsia" w:ascii="华文仿宋" w:hAnsi="华文仿宋" w:eastAsia="华文仿宋" w:cs="华文仿宋"/>
                <w:i w:val="0"/>
                <w:iCs w:val="0"/>
                <w:color w:val="000000"/>
                <w:sz w:val="20"/>
                <w:szCs w:val="20"/>
                <w:u w:val="none"/>
              </w:rPr>
            </w:pPr>
            <w:r>
              <w:rPr>
                <w:rFonts w:hint="eastAsia" w:ascii="华文仿宋" w:hAnsi="华文仿宋" w:eastAsia="华文仿宋" w:cs="华文仿宋"/>
                <w:i w:val="0"/>
                <w:iCs w:val="0"/>
                <w:color w:val="000000"/>
                <w:kern w:val="0"/>
                <w:sz w:val="20"/>
                <w:szCs w:val="20"/>
                <w:u w:val="none"/>
                <w:bdr w:val="none" w:color="auto" w:sz="0" w:space="0"/>
                <w:lang w:val="en-US" w:eastAsia="zh-CN" w:bidi="ar"/>
              </w:rPr>
              <w:t>宪法与行政法原理</w:t>
            </w:r>
          </w:p>
        </w:tc>
        <w:tc>
          <w:tcPr>
            <w:tcW w:w="700" w:type="dxa"/>
            <w:tcBorders>
              <w:top w:val="single" w:color="000000" w:sz="4" w:space="0"/>
              <w:left w:val="single" w:color="000000" w:sz="4" w:space="0"/>
              <w:bottom w:val="single" w:color="000000" w:sz="4" w:space="0"/>
              <w:right w:val="single" w:color="000000" w:sz="4" w:space="0"/>
            </w:tcBorders>
            <w:shd w:val="clear"/>
            <w:vAlign w:val="center"/>
          </w:tcPr>
          <w:p w14:paraId="7C79A031">
            <w:pPr>
              <w:keepNext w:val="0"/>
              <w:keepLines w:val="0"/>
              <w:widowControl/>
              <w:suppressLineNumbers w:val="0"/>
              <w:jc w:val="center"/>
              <w:textAlignment w:val="center"/>
              <w:rPr>
                <w:rFonts w:hint="eastAsia" w:ascii="华文仿宋" w:hAnsi="华文仿宋" w:eastAsia="华文仿宋" w:cs="华文仿宋"/>
                <w:i w:val="0"/>
                <w:iCs w:val="0"/>
                <w:color w:val="000000"/>
                <w:sz w:val="20"/>
                <w:szCs w:val="20"/>
                <w:u w:val="none"/>
              </w:rPr>
            </w:pPr>
            <w:r>
              <w:rPr>
                <w:rFonts w:hint="eastAsia" w:ascii="华文仿宋" w:hAnsi="华文仿宋" w:eastAsia="华文仿宋" w:cs="华文仿宋"/>
                <w:i w:val="0"/>
                <w:iCs w:val="0"/>
                <w:color w:val="000000"/>
                <w:kern w:val="0"/>
                <w:sz w:val="20"/>
                <w:szCs w:val="20"/>
                <w:u w:val="none"/>
                <w:bdr w:val="none" w:color="auto" w:sz="0" w:space="0"/>
                <w:lang w:val="en-US" w:eastAsia="zh-CN" w:bidi="ar"/>
              </w:rPr>
              <w:t>2</w:t>
            </w:r>
          </w:p>
        </w:tc>
      </w:tr>
      <w:tr w14:paraId="59894DF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05" w:hRule="atLeast"/>
          <w:jc w:val="center"/>
        </w:trPr>
        <w:tc>
          <w:tcPr>
            <w:tcW w:w="1358" w:type="dxa"/>
            <w:vMerge w:val="continue"/>
            <w:tcBorders>
              <w:top w:val="single" w:color="000000" w:sz="4" w:space="0"/>
              <w:left w:val="single" w:color="000000" w:sz="4" w:space="0"/>
              <w:bottom w:val="single" w:color="000000" w:sz="4" w:space="0"/>
              <w:right w:val="single" w:color="000000" w:sz="4" w:space="0"/>
            </w:tcBorders>
            <w:shd w:val="clear"/>
            <w:vAlign w:val="center"/>
          </w:tcPr>
          <w:p w14:paraId="3BE338E9">
            <w:pPr>
              <w:jc w:val="center"/>
              <w:rPr>
                <w:rFonts w:hint="eastAsia" w:ascii="华文仿宋" w:hAnsi="华文仿宋" w:eastAsia="华文仿宋" w:cs="华文仿宋"/>
                <w:i w:val="0"/>
                <w:iCs w:val="0"/>
                <w:color w:val="000000"/>
                <w:sz w:val="20"/>
                <w:szCs w:val="20"/>
                <w:u w:val="none"/>
              </w:rPr>
            </w:pPr>
          </w:p>
        </w:tc>
        <w:tc>
          <w:tcPr>
            <w:tcW w:w="5100" w:type="dxa"/>
            <w:tcBorders>
              <w:top w:val="single" w:color="000000" w:sz="4" w:space="0"/>
              <w:left w:val="single" w:color="000000" w:sz="4" w:space="0"/>
              <w:bottom w:val="single" w:color="000000" w:sz="4" w:space="0"/>
              <w:right w:val="single" w:color="000000" w:sz="4" w:space="0"/>
            </w:tcBorders>
            <w:shd w:val="clear"/>
            <w:vAlign w:val="center"/>
          </w:tcPr>
          <w:p w14:paraId="51ABDCCB">
            <w:pPr>
              <w:keepNext w:val="0"/>
              <w:keepLines w:val="0"/>
              <w:widowControl/>
              <w:suppressLineNumbers w:val="0"/>
              <w:jc w:val="center"/>
              <w:textAlignment w:val="center"/>
              <w:rPr>
                <w:rFonts w:hint="eastAsia" w:ascii="华文仿宋" w:hAnsi="华文仿宋" w:eastAsia="华文仿宋" w:cs="华文仿宋"/>
                <w:i w:val="0"/>
                <w:iCs w:val="0"/>
                <w:color w:val="000000"/>
                <w:sz w:val="20"/>
                <w:szCs w:val="20"/>
                <w:u w:val="none"/>
              </w:rPr>
            </w:pPr>
            <w:r>
              <w:rPr>
                <w:rFonts w:hint="eastAsia" w:ascii="华文仿宋" w:hAnsi="华文仿宋" w:eastAsia="华文仿宋" w:cs="华文仿宋"/>
                <w:i w:val="0"/>
                <w:iCs w:val="0"/>
                <w:color w:val="000000"/>
                <w:kern w:val="0"/>
                <w:sz w:val="20"/>
                <w:szCs w:val="20"/>
                <w:u w:val="none"/>
                <w:bdr w:val="none" w:color="auto" w:sz="0" w:space="0"/>
                <w:lang w:val="en-US" w:eastAsia="zh-CN" w:bidi="ar"/>
              </w:rPr>
              <w:t>西方行政管理理论研究</w:t>
            </w:r>
          </w:p>
        </w:tc>
        <w:tc>
          <w:tcPr>
            <w:tcW w:w="700" w:type="dxa"/>
            <w:tcBorders>
              <w:top w:val="single" w:color="000000" w:sz="4" w:space="0"/>
              <w:left w:val="single" w:color="000000" w:sz="4" w:space="0"/>
              <w:bottom w:val="single" w:color="000000" w:sz="4" w:space="0"/>
              <w:right w:val="single" w:color="000000" w:sz="4" w:space="0"/>
            </w:tcBorders>
            <w:shd w:val="clear"/>
            <w:vAlign w:val="center"/>
          </w:tcPr>
          <w:p w14:paraId="5EC83F7D">
            <w:pPr>
              <w:keepNext w:val="0"/>
              <w:keepLines w:val="0"/>
              <w:widowControl/>
              <w:suppressLineNumbers w:val="0"/>
              <w:jc w:val="center"/>
              <w:textAlignment w:val="center"/>
              <w:rPr>
                <w:rFonts w:hint="eastAsia" w:ascii="华文仿宋" w:hAnsi="华文仿宋" w:eastAsia="华文仿宋" w:cs="华文仿宋"/>
                <w:i w:val="0"/>
                <w:iCs w:val="0"/>
                <w:color w:val="000000"/>
                <w:sz w:val="20"/>
                <w:szCs w:val="20"/>
                <w:u w:val="none"/>
              </w:rPr>
            </w:pPr>
            <w:r>
              <w:rPr>
                <w:rFonts w:hint="eastAsia" w:ascii="华文仿宋" w:hAnsi="华文仿宋" w:eastAsia="华文仿宋" w:cs="华文仿宋"/>
                <w:i w:val="0"/>
                <w:iCs w:val="0"/>
                <w:color w:val="000000"/>
                <w:kern w:val="0"/>
                <w:sz w:val="20"/>
                <w:szCs w:val="20"/>
                <w:u w:val="none"/>
                <w:bdr w:val="none" w:color="auto" w:sz="0" w:space="0"/>
                <w:lang w:val="en-US" w:eastAsia="zh-CN" w:bidi="ar"/>
              </w:rPr>
              <w:t>2</w:t>
            </w:r>
          </w:p>
        </w:tc>
      </w:tr>
      <w:tr w14:paraId="5EDB05C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05" w:hRule="atLeast"/>
          <w:jc w:val="center"/>
        </w:trPr>
        <w:tc>
          <w:tcPr>
            <w:tcW w:w="1358" w:type="dxa"/>
            <w:vMerge w:val="continue"/>
            <w:tcBorders>
              <w:top w:val="single" w:color="000000" w:sz="4" w:space="0"/>
              <w:left w:val="single" w:color="000000" w:sz="4" w:space="0"/>
              <w:bottom w:val="single" w:color="000000" w:sz="4" w:space="0"/>
              <w:right w:val="single" w:color="000000" w:sz="4" w:space="0"/>
            </w:tcBorders>
            <w:shd w:val="clear"/>
            <w:vAlign w:val="center"/>
          </w:tcPr>
          <w:p w14:paraId="06BFB884">
            <w:pPr>
              <w:jc w:val="center"/>
              <w:rPr>
                <w:rFonts w:hint="eastAsia" w:ascii="华文仿宋" w:hAnsi="华文仿宋" w:eastAsia="华文仿宋" w:cs="华文仿宋"/>
                <w:i w:val="0"/>
                <w:iCs w:val="0"/>
                <w:color w:val="000000"/>
                <w:sz w:val="20"/>
                <w:szCs w:val="20"/>
                <w:u w:val="none"/>
              </w:rPr>
            </w:pPr>
          </w:p>
        </w:tc>
        <w:tc>
          <w:tcPr>
            <w:tcW w:w="5100" w:type="dxa"/>
            <w:tcBorders>
              <w:top w:val="single" w:color="000000" w:sz="4" w:space="0"/>
              <w:left w:val="single" w:color="000000" w:sz="4" w:space="0"/>
              <w:bottom w:val="single" w:color="000000" w:sz="4" w:space="0"/>
              <w:right w:val="single" w:color="000000" w:sz="4" w:space="0"/>
            </w:tcBorders>
            <w:shd w:val="clear"/>
            <w:vAlign w:val="center"/>
          </w:tcPr>
          <w:p w14:paraId="2A10AA16">
            <w:pPr>
              <w:keepNext w:val="0"/>
              <w:keepLines w:val="0"/>
              <w:widowControl/>
              <w:suppressLineNumbers w:val="0"/>
              <w:jc w:val="center"/>
              <w:textAlignment w:val="center"/>
              <w:rPr>
                <w:rFonts w:hint="eastAsia" w:ascii="华文仿宋" w:hAnsi="华文仿宋" w:eastAsia="华文仿宋" w:cs="华文仿宋"/>
                <w:i w:val="0"/>
                <w:iCs w:val="0"/>
                <w:color w:val="000000"/>
                <w:sz w:val="20"/>
                <w:szCs w:val="20"/>
                <w:u w:val="none"/>
              </w:rPr>
            </w:pPr>
            <w:r>
              <w:rPr>
                <w:rFonts w:hint="eastAsia" w:ascii="华文仿宋" w:hAnsi="华文仿宋" w:eastAsia="华文仿宋" w:cs="华文仿宋"/>
                <w:i w:val="0"/>
                <w:iCs w:val="0"/>
                <w:color w:val="000000"/>
                <w:kern w:val="0"/>
                <w:sz w:val="20"/>
                <w:szCs w:val="20"/>
                <w:u w:val="none"/>
                <w:bdr w:val="none" w:color="auto" w:sz="0" w:space="0"/>
                <w:lang w:val="en-US" w:eastAsia="zh-CN" w:bidi="ar"/>
              </w:rPr>
              <w:t>当代中国政府与政治</w:t>
            </w:r>
          </w:p>
        </w:tc>
        <w:tc>
          <w:tcPr>
            <w:tcW w:w="700" w:type="dxa"/>
            <w:tcBorders>
              <w:top w:val="single" w:color="000000" w:sz="4" w:space="0"/>
              <w:left w:val="single" w:color="000000" w:sz="4" w:space="0"/>
              <w:bottom w:val="single" w:color="000000" w:sz="4" w:space="0"/>
              <w:right w:val="single" w:color="000000" w:sz="4" w:space="0"/>
            </w:tcBorders>
            <w:shd w:val="clear"/>
            <w:vAlign w:val="center"/>
          </w:tcPr>
          <w:p w14:paraId="15D8EFB3">
            <w:pPr>
              <w:keepNext w:val="0"/>
              <w:keepLines w:val="0"/>
              <w:widowControl/>
              <w:suppressLineNumbers w:val="0"/>
              <w:jc w:val="center"/>
              <w:textAlignment w:val="center"/>
              <w:rPr>
                <w:rFonts w:hint="eastAsia" w:ascii="华文仿宋" w:hAnsi="华文仿宋" w:eastAsia="华文仿宋" w:cs="华文仿宋"/>
                <w:i w:val="0"/>
                <w:iCs w:val="0"/>
                <w:color w:val="000000"/>
                <w:sz w:val="20"/>
                <w:szCs w:val="20"/>
                <w:u w:val="none"/>
              </w:rPr>
            </w:pPr>
            <w:r>
              <w:rPr>
                <w:rFonts w:hint="eastAsia" w:ascii="华文仿宋" w:hAnsi="华文仿宋" w:eastAsia="华文仿宋" w:cs="华文仿宋"/>
                <w:i w:val="0"/>
                <w:iCs w:val="0"/>
                <w:color w:val="000000"/>
                <w:kern w:val="0"/>
                <w:sz w:val="20"/>
                <w:szCs w:val="20"/>
                <w:u w:val="none"/>
                <w:bdr w:val="none" w:color="auto" w:sz="0" w:space="0"/>
                <w:lang w:val="en-US" w:eastAsia="zh-CN" w:bidi="ar"/>
              </w:rPr>
              <w:t>2</w:t>
            </w:r>
          </w:p>
        </w:tc>
      </w:tr>
      <w:tr w14:paraId="48886CE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05" w:hRule="atLeast"/>
          <w:jc w:val="center"/>
        </w:trPr>
        <w:tc>
          <w:tcPr>
            <w:tcW w:w="1358" w:type="dxa"/>
            <w:vMerge w:val="continue"/>
            <w:tcBorders>
              <w:top w:val="single" w:color="000000" w:sz="4" w:space="0"/>
              <w:left w:val="single" w:color="000000" w:sz="4" w:space="0"/>
              <w:bottom w:val="single" w:color="000000" w:sz="4" w:space="0"/>
              <w:right w:val="single" w:color="000000" w:sz="4" w:space="0"/>
            </w:tcBorders>
            <w:shd w:val="clear"/>
            <w:vAlign w:val="center"/>
          </w:tcPr>
          <w:p w14:paraId="0E9F6707">
            <w:pPr>
              <w:jc w:val="center"/>
              <w:rPr>
                <w:rFonts w:hint="eastAsia" w:ascii="华文仿宋" w:hAnsi="华文仿宋" w:eastAsia="华文仿宋" w:cs="华文仿宋"/>
                <w:i w:val="0"/>
                <w:iCs w:val="0"/>
                <w:color w:val="000000"/>
                <w:sz w:val="20"/>
                <w:szCs w:val="20"/>
                <w:u w:val="none"/>
              </w:rPr>
            </w:pPr>
          </w:p>
        </w:tc>
        <w:tc>
          <w:tcPr>
            <w:tcW w:w="5100" w:type="dxa"/>
            <w:tcBorders>
              <w:top w:val="single" w:color="000000" w:sz="4" w:space="0"/>
              <w:left w:val="single" w:color="000000" w:sz="4" w:space="0"/>
              <w:bottom w:val="single" w:color="000000" w:sz="4" w:space="0"/>
              <w:right w:val="single" w:color="000000" w:sz="4" w:space="0"/>
            </w:tcBorders>
            <w:shd w:val="clear"/>
            <w:vAlign w:val="center"/>
          </w:tcPr>
          <w:p w14:paraId="1FAA1FC0">
            <w:pPr>
              <w:keepNext w:val="0"/>
              <w:keepLines w:val="0"/>
              <w:widowControl/>
              <w:suppressLineNumbers w:val="0"/>
              <w:jc w:val="center"/>
              <w:textAlignment w:val="center"/>
              <w:rPr>
                <w:rFonts w:hint="eastAsia" w:ascii="华文仿宋" w:hAnsi="华文仿宋" w:eastAsia="华文仿宋" w:cs="华文仿宋"/>
                <w:i w:val="0"/>
                <w:iCs w:val="0"/>
                <w:color w:val="000000"/>
                <w:sz w:val="20"/>
                <w:szCs w:val="20"/>
                <w:u w:val="none"/>
              </w:rPr>
            </w:pPr>
            <w:r>
              <w:rPr>
                <w:rFonts w:hint="eastAsia" w:ascii="华文仿宋" w:hAnsi="华文仿宋" w:eastAsia="华文仿宋" w:cs="华文仿宋"/>
                <w:i w:val="0"/>
                <w:iCs w:val="0"/>
                <w:color w:val="000000"/>
                <w:kern w:val="0"/>
                <w:sz w:val="20"/>
                <w:szCs w:val="20"/>
                <w:u w:val="none"/>
                <w:bdr w:val="none" w:color="auto" w:sz="0" w:space="0"/>
                <w:lang w:val="en-US" w:eastAsia="zh-CN" w:bidi="ar"/>
              </w:rPr>
              <w:t>非政府组织管理</w:t>
            </w:r>
          </w:p>
        </w:tc>
        <w:tc>
          <w:tcPr>
            <w:tcW w:w="700" w:type="dxa"/>
            <w:tcBorders>
              <w:top w:val="single" w:color="000000" w:sz="4" w:space="0"/>
              <w:left w:val="single" w:color="000000" w:sz="4" w:space="0"/>
              <w:bottom w:val="single" w:color="000000" w:sz="4" w:space="0"/>
              <w:right w:val="single" w:color="000000" w:sz="4" w:space="0"/>
            </w:tcBorders>
            <w:shd w:val="clear"/>
            <w:vAlign w:val="center"/>
          </w:tcPr>
          <w:p w14:paraId="73C946A7">
            <w:pPr>
              <w:keepNext w:val="0"/>
              <w:keepLines w:val="0"/>
              <w:widowControl/>
              <w:suppressLineNumbers w:val="0"/>
              <w:jc w:val="center"/>
              <w:textAlignment w:val="center"/>
              <w:rPr>
                <w:rFonts w:hint="eastAsia" w:ascii="华文仿宋" w:hAnsi="华文仿宋" w:eastAsia="华文仿宋" w:cs="华文仿宋"/>
                <w:i w:val="0"/>
                <w:iCs w:val="0"/>
                <w:color w:val="000000"/>
                <w:sz w:val="20"/>
                <w:szCs w:val="20"/>
                <w:u w:val="none"/>
              </w:rPr>
            </w:pPr>
            <w:r>
              <w:rPr>
                <w:rFonts w:hint="eastAsia" w:ascii="华文仿宋" w:hAnsi="华文仿宋" w:eastAsia="华文仿宋" w:cs="华文仿宋"/>
                <w:i w:val="0"/>
                <w:iCs w:val="0"/>
                <w:color w:val="000000"/>
                <w:kern w:val="0"/>
                <w:sz w:val="20"/>
                <w:szCs w:val="20"/>
                <w:u w:val="none"/>
                <w:bdr w:val="none" w:color="auto" w:sz="0" w:space="0"/>
                <w:lang w:val="en-US" w:eastAsia="zh-CN" w:bidi="ar"/>
              </w:rPr>
              <w:t>2</w:t>
            </w:r>
          </w:p>
        </w:tc>
      </w:tr>
      <w:tr w14:paraId="694B1D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5" w:hRule="atLeast"/>
          <w:jc w:val="center"/>
        </w:trPr>
        <w:tc>
          <w:tcPr>
            <w:tcW w:w="1358" w:type="dxa"/>
            <w:vMerge w:val="continue"/>
            <w:tcBorders>
              <w:top w:val="single" w:color="000000" w:sz="4" w:space="0"/>
              <w:left w:val="single" w:color="000000" w:sz="4" w:space="0"/>
              <w:bottom w:val="single" w:color="000000" w:sz="4" w:space="0"/>
              <w:right w:val="single" w:color="000000" w:sz="4" w:space="0"/>
            </w:tcBorders>
            <w:shd w:val="clear"/>
            <w:vAlign w:val="center"/>
          </w:tcPr>
          <w:p w14:paraId="3655DE0E">
            <w:pPr>
              <w:jc w:val="center"/>
              <w:rPr>
                <w:rFonts w:hint="eastAsia" w:ascii="华文仿宋" w:hAnsi="华文仿宋" w:eastAsia="华文仿宋" w:cs="华文仿宋"/>
                <w:i w:val="0"/>
                <w:iCs w:val="0"/>
                <w:color w:val="000000"/>
                <w:sz w:val="20"/>
                <w:szCs w:val="20"/>
                <w:u w:val="none"/>
              </w:rPr>
            </w:pPr>
          </w:p>
        </w:tc>
        <w:tc>
          <w:tcPr>
            <w:tcW w:w="5100" w:type="dxa"/>
            <w:tcBorders>
              <w:top w:val="single" w:color="000000" w:sz="4" w:space="0"/>
              <w:left w:val="single" w:color="000000" w:sz="4" w:space="0"/>
              <w:bottom w:val="single" w:color="000000" w:sz="4" w:space="0"/>
              <w:right w:val="single" w:color="000000" w:sz="4" w:space="0"/>
            </w:tcBorders>
            <w:shd w:val="clear"/>
            <w:vAlign w:val="center"/>
          </w:tcPr>
          <w:p w14:paraId="05A925FE">
            <w:pPr>
              <w:keepNext w:val="0"/>
              <w:keepLines w:val="0"/>
              <w:widowControl/>
              <w:suppressLineNumbers w:val="0"/>
              <w:jc w:val="center"/>
              <w:textAlignment w:val="center"/>
              <w:rPr>
                <w:rFonts w:hint="eastAsia" w:ascii="华文仿宋" w:hAnsi="华文仿宋" w:eastAsia="华文仿宋" w:cs="华文仿宋"/>
                <w:i w:val="0"/>
                <w:iCs w:val="0"/>
                <w:color w:val="000000"/>
                <w:sz w:val="20"/>
                <w:szCs w:val="20"/>
                <w:u w:val="none"/>
              </w:rPr>
            </w:pPr>
            <w:r>
              <w:rPr>
                <w:rFonts w:hint="eastAsia" w:ascii="华文仿宋" w:hAnsi="华文仿宋" w:eastAsia="华文仿宋" w:cs="华文仿宋"/>
                <w:i w:val="0"/>
                <w:iCs w:val="0"/>
                <w:color w:val="000000"/>
                <w:kern w:val="0"/>
                <w:sz w:val="20"/>
                <w:szCs w:val="20"/>
                <w:u w:val="none"/>
                <w:bdr w:val="none" w:color="auto" w:sz="0" w:space="0"/>
                <w:lang w:val="en-US" w:eastAsia="zh-CN" w:bidi="ar"/>
              </w:rPr>
              <w:t>公共危机管理</w:t>
            </w:r>
          </w:p>
        </w:tc>
        <w:tc>
          <w:tcPr>
            <w:tcW w:w="700" w:type="dxa"/>
            <w:tcBorders>
              <w:top w:val="single" w:color="000000" w:sz="4" w:space="0"/>
              <w:left w:val="single" w:color="000000" w:sz="4" w:space="0"/>
              <w:bottom w:val="single" w:color="000000" w:sz="4" w:space="0"/>
              <w:right w:val="single" w:color="000000" w:sz="4" w:space="0"/>
            </w:tcBorders>
            <w:shd w:val="clear"/>
            <w:vAlign w:val="center"/>
          </w:tcPr>
          <w:p w14:paraId="7748AD42">
            <w:pPr>
              <w:keepNext w:val="0"/>
              <w:keepLines w:val="0"/>
              <w:widowControl/>
              <w:suppressLineNumbers w:val="0"/>
              <w:jc w:val="center"/>
              <w:textAlignment w:val="center"/>
              <w:rPr>
                <w:rFonts w:hint="eastAsia" w:ascii="华文仿宋" w:hAnsi="华文仿宋" w:eastAsia="华文仿宋" w:cs="华文仿宋"/>
                <w:i w:val="0"/>
                <w:iCs w:val="0"/>
                <w:color w:val="000000"/>
                <w:sz w:val="20"/>
                <w:szCs w:val="20"/>
                <w:u w:val="none"/>
              </w:rPr>
            </w:pPr>
            <w:r>
              <w:rPr>
                <w:rFonts w:hint="eastAsia" w:ascii="华文仿宋" w:hAnsi="华文仿宋" w:eastAsia="华文仿宋" w:cs="华文仿宋"/>
                <w:i w:val="0"/>
                <w:iCs w:val="0"/>
                <w:color w:val="000000"/>
                <w:kern w:val="0"/>
                <w:sz w:val="20"/>
                <w:szCs w:val="20"/>
                <w:u w:val="none"/>
                <w:bdr w:val="none" w:color="auto" w:sz="0" w:space="0"/>
                <w:lang w:val="en-US" w:eastAsia="zh-CN" w:bidi="ar"/>
              </w:rPr>
              <w:t>2</w:t>
            </w:r>
          </w:p>
        </w:tc>
      </w:tr>
      <w:tr w14:paraId="0AF1D1B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05" w:hRule="atLeast"/>
          <w:jc w:val="center"/>
        </w:trPr>
        <w:tc>
          <w:tcPr>
            <w:tcW w:w="1358" w:type="dxa"/>
            <w:vMerge w:val="continue"/>
            <w:tcBorders>
              <w:top w:val="single" w:color="000000" w:sz="4" w:space="0"/>
              <w:left w:val="single" w:color="000000" w:sz="4" w:space="0"/>
              <w:bottom w:val="single" w:color="000000" w:sz="4" w:space="0"/>
              <w:right w:val="single" w:color="000000" w:sz="4" w:space="0"/>
            </w:tcBorders>
            <w:shd w:val="clear"/>
            <w:vAlign w:val="center"/>
          </w:tcPr>
          <w:p w14:paraId="6159103D">
            <w:pPr>
              <w:jc w:val="center"/>
              <w:rPr>
                <w:rFonts w:hint="eastAsia" w:ascii="华文仿宋" w:hAnsi="华文仿宋" w:eastAsia="华文仿宋" w:cs="华文仿宋"/>
                <w:i w:val="0"/>
                <w:iCs w:val="0"/>
                <w:color w:val="000000"/>
                <w:sz w:val="20"/>
                <w:szCs w:val="20"/>
                <w:u w:val="none"/>
              </w:rPr>
            </w:pPr>
          </w:p>
        </w:tc>
        <w:tc>
          <w:tcPr>
            <w:tcW w:w="5100" w:type="dxa"/>
            <w:tcBorders>
              <w:top w:val="single" w:color="000000" w:sz="4" w:space="0"/>
              <w:left w:val="single" w:color="000000" w:sz="4" w:space="0"/>
              <w:bottom w:val="single" w:color="000000" w:sz="4" w:space="0"/>
              <w:right w:val="single" w:color="000000" w:sz="4" w:space="0"/>
            </w:tcBorders>
            <w:shd w:val="clear"/>
            <w:vAlign w:val="center"/>
          </w:tcPr>
          <w:p w14:paraId="226BE13B">
            <w:pPr>
              <w:keepNext w:val="0"/>
              <w:keepLines w:val="0"/>
              <w:widowControl/>
              <w:suppressLineNumbers w:val="0"/>
              <w:jc w:val="center"/>
              <w:textAlignment w:val="center"/>
              <w:rPr>
                <w:rFonts w:hint="eastAsia" w:ascii="华文仿宋" w:hAnsi="华文仿宋" w:eastAsia="华文仿宋" w:cs="华文仿宋"/>
                <w:i w:val="0"/>
                <w:iCs w:val="0"/>
                <w:color w:val="000000"/>
                <w:sz w:val="20"/>
                <w:szCs w:val="20"/>
                <w:u w:val="none"/>
              </w:rPr>
            </w:pPr>
            <w:r>
              <w:rPr>
                <w:rFonts w:hint="eastAsia" w:ascii="华文仿宋" w:hAnsi="华文仿宋" w:eastAsia="华文仿宋" w:cs="华文仿宋"/>
                <w:i w:val="0"/>
                <w:iCs w:val="0"/>
                <w:color w:val="000000"/>
                <w:kern w:val="0"/>
                <w:sz w:val="20"/>
                <w:szCs w:val="20"/>
                <w:u w:val="none"/>
                <w:bdr w:val="none" w:color="auto" w:sz="0" w:space="0"/>
                <w:lang w:val="en-US" w:eastAsia="zh-CN" w:bidi="ar"/>
              </w:rPr>
              <w:t>行政文化与行政伦理</w:t>
            </w:r>
          </w:p>
        </w:tc>
        <w:tc>
          <w:tcPr>
            <w:tcW w:w="700" w:type="dxa"/>
            <w:tcBorders>
              <w:top w:val="single" w:color="000000" w:sz="4" w:space="0"/>
              <w:left w:val="single" w:color="000000" w:sz="4" w:space="0"/>
              <w:bottom w:val="single" w:color="000000" w:sz="4" w:space="0"/>
              <w:right w:val="single" w:color="000000" w:sz="4" w:space="0"/>
            </w:tcBorders>
            <w:shd w:val="clear"/>
            <w:vAlign w:val="center"/>
          </w:tcPr>
          <w:p w14:paraId="4AE118CD">
            <w:pPr>
              <w:keepNext w:val="0"/>
              <w:keepLines w:val="0"/>
              <w:widowControl/>
              <w:suppressLineNumbers w:val="0"/>
              <w:jc w:val="center"/>
              <w:textAlignment w:val="center"/>
              <w:rPr>
                <w:rFonts w:hint="eastAsia" w:ascii="华文仿宋" w:hAnsi="华文仿宋" w:eastAsia="华文仿宋" w:cs="华文仿宋"/>
                <w:i w:val="0"/>
                <w:iCs w:val="0"/>
                <w:color w:val="000000"/>
                <w:sz w:val="20"/>
                <w:szCs w:val="20"/>
                <w:u w:val="none"/>
              </w:rPr>
            </w:pPr>
            <w:r>
              <w:rPr>
                <w:rFonts w:hint="eastAsia" w:ascii="华文仿宋" w:hAnsi="华文仿宋" w:eastAsia="华文仿宋" w:cs="华文仿宋"/>
                <w:i w:val="0"/>
                <w:iCs w:val="0"/>
                <w:color w:val="000000"/>
                <w:kern w:val="0"/>
                <w:sz w:val="20"/>
                <w:szCs w:val="20"/>
                <w:u w:val="none"/>
                <w:bdr w:val="none" w:color="auto" w:sz="0" w:space="0"/>
                <w:lang w:val="en-US" w:eastAsia="zh-CN" w:bidi="ar"/>
              </w:rPr>
              <w:t>2</w:t>
            </w:r>
          </w:p>
        </w:tc>
      </w:tr>
      <w:tr w14:paraId="013073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5" w:hRule="atLeast"/>
          <w:jc w:val="center"/>
        </w:trPr>
        <w:tc>
          <w:tcPr>
            <w:tcW w:w="1358" w:type="dxa"/>
            <w:vMerge w:val="continue"/>
            <w:tcBorders>
              <w:top w:val="single" w:color="000000" w:sz="4" w:space="0"/>
              <w:left w:val="single" w:color="000000" w:sz="4" w:space="0"/>
              <w:bottom w:val="single" w:color="000000" w:sz="4" w:space="0"/>
              <w:right w:val="single" w:color="000000" w:sz="4" w:space="0"/>
            </w:tcBorders>
            <w:shd w:val="clear"/>
            <w:vAlign w:val="center"/>
          </w:tcPr>
          <w:p w14:paraId="43E15CDB">
            <w:pPr>
              <w:jc w:val="center"/>
              <w:rPr>
                <w:rFonts w:hint="eastAsia" w:ascii="华文仿宋" w:hAnsi="华文仿宋" w:eastAsia="华文仿宋" w:cs="华文仿宋"/>
                <w:i w:val="0"/>
                <w:iCs w:val="0"/>
                <w:color w:val="000000"/>
                <w:sz w:val="20"/>
                <w:szCs w:val="20"/>
                <w:u w:val="none"/>
              </w:rPr>
            </w:pPr>
          </w:p>
        </w:tc>
        <w:tc>
          <w:tcPr>
            <w:tcW w:w="5100" w:type="dxa"/>
            <w:tcBorders>
              <w:top w:val="single" w:color="000000" w:sz="4" w:space="0"/>
              <w:left w:val="single" w:color="000000" w:sz="4" w:space="0"/>
              <w:bottom w:val="single" w:color="000000" w:sz="4" w:space="0"/>
              <w:right w:val="single" w:color="000000" w:sz="4" w:space="0"/>
            </w:tcBorders>
            <w:shd w:val="clear"/>
            <w:vAlign w:val="center"/>
          </w:tcPr>
          <w:p w14:paraId="004A8647">
            <w:pPr>
              <w:keepNext w:val="0"/>
              <w:keepLines w:val="0"/>
              <w:widowControl/>
              <w:suppressLineNumbers w:val="0"/>
              <w:jc w:val="center"/>
              <w:textAlignment w:val="center"/>
              <w:rPr>
                <w:rFonts w:hint="eastAsia" w:ascii="华文仿宋" w:hAnsi="华文仿宋" w:eastAsia="华文仿宋" w:cs="华文仿宋"/>
                <w:i w:val="0"/>
                <w:iCs w:val="0"/>
                <w:color w:val="000000"/>
                <w:sz w:val="20"/>
                <w:szCs w:val="20"/>
                <w:u w:val="none"/>
              </w:rPr>
            </w:pPr>
            <w:r>
              <w:rPr>
                <w:rFonts w:hint="eastAsia" w:ascii="华文仿宋" w:hAnsi="华文仿宋" w:eastAsia="华文仿宋" w:cs="华文仿宋"/>
                <w:i w:val="0"/>
                <w:iCs w:val="0"/>
                <w:color w:val="000000"/>
                <w:kern w:val="0"/>
                <w:sz w:val="20"/>
                <w:szCs w:val="20"/>
                <w:u w:val="none"/>
                <w:bdr w:val="none" w:color="auto" w:sz="0" w:space="0"/>
                <w:lang w:val="en-US" w:eastAsia="zh-CN" w:bidi="ar"/>
              </w:rPr>
              <w:t>社会治理与社会政策</w:t>
            </w:r>
          </w:p>
        </w:tc>
        <w:tc>
          <w:tcPr>
            <w:tcW w:w="700" w:type="dxa"/>
            <w:tcBorders>
              <w:top w:val="single" w:color="000000" w:sz="4" w:space="0"/>
              <w:left w:val="single" w:color="000000" w:sz="4" w:space="0"/>
              <w:bottom w:val="single" w:color="000000" w:sz="4" w:space="0"/>
              <w:right w:val="single" w:color="000000" w:sz="4" w:space="0"/>
            </w:tcBorders>
            <w:shd w:val="clear"/>
            <w:vAlign w:val="center"/>
          </w:tcPr>
          <w:p w14:paraId="330853C5">
            <w:pPr>
              <w:keepNext w:val="0"/>
              <w:keepLines w:val="0"/>
              <w:widowControl/>
              <w:suppressLineNumbers w:val="0"/>
              <w:jc w:val="center"/>
              <w:textAlignment w:val="center"/>
              <w:rPr>
                <w:rFonts w:hint="eastAsia" w:ascii="华文仿宋" w:hAnsi="华文仿宋" w:eastAsia="华文仿宋" w:cs="华文仿宋"/>
                <w:i w:val="0"/>
                <w:iCs w:val="0"/>
                <w:color w:val="000000"/>
                <w:sz w:val="20"/>
                <w:szCs w:val="20"/>
                <w:u w:val="none"/>
              </w:rPr>
            </w:pPr>
            <w:r>
              <w:rPr>
                <w:rFonts w:hint="eastAsia" w:ascii="华文仿宋" w:hAnsi="华文仿宋" w:eastAsia="华文仿宋" w:cs="华文仿宋"/>
                <w:i w:val="0"/>
                <w:iCs w:val="0"/>
                <w:color w:val="000000"/>
                <w:kern w:val="0"/>
                <w:sz w:val="20"/>
                <w:szCs w:val="20"/>
                <w:u w:val="none"/>
                <w:bdr w:val="none" w:color="auto" w:sz="0" w:space="0"/>
                <w:lang w:val="en-US" w:eastAsia="zh-CN" w:bidi="ar"/>
              </w:rPr>
              <w:t>1</w:t>
            </w:r>
          </w:p>
        </w:tc>
      </w:tr>
      <w:tr w14:paraId="283259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5" w:hRule="atLeast"/>
          <w:jc w:val="center"/>
        </w:trPr>
        <w:tc>
          <w:tcPr>
            <w:tcW w:w="1358" w:type="dxa"/>
            <w:vMerge w:val="continue"/>
            <w:tcBorders>
              <w:top w:val="single" w:color="000000" w:sz="4" w:space="0"/>
              <w:left w:val="single" w:color="000000" w:sz="4" w:space="0"/>
              <w:bottom w:val="single" w:color="000000" w:sz="4" w:space="0"/>
              <w:right w:val="single" w:color="000000" w:sz="4" w:space="0"/>
            </w:tcBorders>
            <w:shd w:val="clear"/>
            <w:vAlign w:val="center"/>
          </w:tcPr>
          <w:p w14:paraId="21EEB910">
            <w:pPr>
              <w:jc w:val="center"/>
              <w:rPr>
                <w:rFonts w:hint="eastAsia" w:ascii="华文仿宋" w:hAnsi="华文仿宋" w:eastAsia="华文仿宋" w:cs="华文仿宋"/>
                <w:i w:val="0"/>
                <w:iCs w:val="0"/>
                <w:color w:val="000000"/>
                <w:sz w:val="20"/>
                <w:szCs w:val="20"/>
                <w:u w:val="none"/>
              </w:rPr>
            </w:pPr>
          </w:p>
        </w:tc>
        <w:tc>
          <w:tcPr>
            <w:tcW w:w="5100" w:type="dxa"/>
            <w:tcBorders>
              <w:top w:val="single" w:color="000000" w:sz="4" w:space="0"/>
              <w:left w:val="single" w:color="000000" w:sz="4" w:space="0"/>
              <w:bottom w:val="single" w:color="000000" w:sz="4" w:space="0"/>
              <w:right w:val="single" w:color="000000" w:sz="4" w:space="0"/>
            </w:tcBorders>
            <w:shd w:val="clear"/>
            <w:vAlign w:val="center"/>
          </w:tcPr>
          <w:p w14:paraId="77AE33A9">
            <w:pPr>
              <w:keepNext w:val="0"/>
              <w:keepLines w:val="0"/>
              <w:widowControl/>
              <w:suppressLineNumbers w:val="0"/>
              <w:jc w:val="center"/>
              <w:textAlignment w:val="center"/>
              <w:rPr>
                <w:rFonts w:hint="eastAsia" w:ascii="华文仿宋" w:hAnsi="华文仿宋" w:eastAsia="华文仿宋" w:cs="华文仿宋"/>
                <w:i w:val="0"/>
                <w:iCs w:val="0"/>
                <w:color w:val="000000"/>
                <w:sz w:val="20"/>
                <w:szCs w:val="20"/>
                <w:u w:val="none"/>
              </w:rPr>
            </w:pPr>
            <w:r>
              <w:rPr>
                <w:rFonts w:hint="eastAsia" w:ascii="华文仿宋" w:hAnsi="华文仿宋" w:eastAsia="华文仿宋" w:cs="华文仿宋"/>
                <w:i w:val="0"/>
                <w:iCs w:val="0"/>
                <w:color w:val="000000"/>
                <w:kern w:val="0"/>
                <w:sz w:val="20"/>
                <w:szCs w:val="20"/>
                <w:u w:val="none"/>
                <w:bdr w:val="none" w:color="auto" w:sz="0" w:space="0"/>
                <w:lang w:val="en-US" w:eastAsia="zh-CN" w:bidi="ar"/>
              </w:rPr>
              <w:t>学术写作规范与方法</w:t>
            </w:r>
          </w:p>
        </w:tc>
        <w:tc>
          <w:tcPr>
            <w:tcW w:w="700" w:type="dxa"/>
            <w:tcBorders>
              <w:top w:val="single" w:color="000000" w:sz="4" w:space="0"/>
              <w:left w:val="single" w:color="000000" w:sz="4" w:space="0"/>
              <w:bottom w:val="single" w:color="000000" w:sz="4" w:space="0"/>
              <w:right w:val="single" w:color="000000" w:sz="4" w:space="0"/>
            </w:tcBorders>
            <w:shd w:val="clear"/>
            <w:vAlign w:val="center"/>
          </w:tcPr>
          <w:p w14:paraId="15461C09">
            <w:pPr>
              <w:keepNext w:val="0"/>
              <w:keepLines w:val="0"/>
              <w:widowControl/>
              <w:suppressLineNumbers w:val="0"/>
              <w:jc w:val="center"/>
              <w:textAlignment w:val="center"/>
              <w:rPr>
                <w:rFonts w:hint="eastAsia" w:ascii="华文仿宋" w:hAnsi="华文仿宋" w:eastAsia="华文仿宋" w:cs="华文仿宋"/>
                <w:i w:val="0"/>
                <w:iCs w:val="0"/>
                <w:color w:val="000000"/>
                <w:sz w:val="20"/>
                <w:szCs w:val="20"/>
                <w:u w:val="none"/>
              </w:rPr>
            </w:pPr>
            <w:r>
              <w:rPr>
                <w:rFonts w:hint="eastAsia" w:ascii="华文仿宋" w:hAnsi="华文仿宋" w:eastAsia="华文仿宋" w:cs="华文仿宋"/>
                <w:i w:val="0"/>
                <w:iCs w:val="0"/>
                <w:color w:val="000000"/>
                <w:kern w:val="0"/>
                <w:sz w:val="20"/>
                <w:szCs w:val="20"/>
                <w:u w:val="none"/>
                <w:bdr w:val="none" w:color="auto" w:sz="0" w:space="0"/>
                <w:lang w:val="en-US" w:eastAsia="zh-CN" w:bidi="ar"/>
              </w:rPr>
              <w:t>1</w:t>
            </w:r>
          </w:p>
        </w:tc>
      </w:tr>
      <w:tr w14:paraId="43DA95F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05" w:hRule="atLeast"/>
          <w:jc w:val="center"/>
        </w:trPr>
        <w:tc>
          <w:tcPr>
            <w:tcW w:w="1358" w:type="dxa"/>
            <w:tcBorders>
              <w:top w:val="single" w:color="000000" w:sz="4" w:space="0"/>
              <w:left w:val="single" w:color="000000" w:sz="4" w:space="0"/>
              <w:bottom w:val="single" w:color="000000" w:sz="4" w:space="0"/>
              <w:right w:val="single" w:color="000000" w:sz="4" w:space="0"/>
            </w:tcBorders>
            <w:shd w:val="clear"/>
            <w:vAlign w:val="center"/>
          </w:tcPr>
          <w:p w14:paraId="5A3D53B2">
            <w:pPr>
              <w:keepNext w:val="0"/>
              <w:keepLines w:val="0"/>
              <w:widowControl/>
              <w:suppressLineNumbers w:val="0"/>
              <w:jc w:val="center"/>
              <w:textAlignment w:val="center"/>
              <w:rPr>
                <w:rFonts w:hint="eastAsia" w:ascii="华文仿宋" w:hAnsi="华文仿宋" w:eastAsia="华文仿宋" w:cs="华文仿宋"/>
                <w:i w:val="0"/>
                <w:iCs w:val="0"/>
                <w:color w:val="000000"/>
                <w:sz w:val="20"/>
                <w:szCs w:val="20"/>
                <w:u w:val="none"/>
              </w:rPr>
            </w:pPr>
            <w:r>
              <w:rPr>
                <w:rFonts w:hint="eastAsia" w:ascii="华文仿宋" w:hAnsi="华文仿宋" w:eastAsia="华文仿宋" w:cs="华文仿宋"/>
                <w:i w:val="0"/>
                <w:iCs w:val="0"/>
                <w:color w:val="000000"/>
                <w:kern w:val="0"/>
                <w:sz w:val="20"/>
                <w:szCs w:val="20"/>
                <w:u w:val="none"/>
                <w:bdr w:val="none" w:color="auto" w:sz="0" w:space="0"/>
                <w:lang w:val="en-US" w:eastAsia="zh-CN" w:bidi="ar"/>
              </w:rPr>
              <w:t>选修课</w:t>
            </w:r>
          </w:p>
        </w:tc>
        <w:tc>
          <w:tcPr>
            <w:tcW w:w="5100" w:type="dxa"/>
            <w:tcBorders>
              <w:top w:val="single" w:color="000000" w:sz="4" w:space="0"/>
              <w:left w:val="single" w:color="000000" w:sz="4" w:space="0"/>
              <w:bottom w:val="single" w:color="000000" w:sz="4" w:space="0"/>
              <w:right w:val="single" w:color="000000" w:sz="4" w:space="0"/>
            </w:tcBorders>
            <w:shd w:val="clear"/>
            <w:vAlign w:val="center"/>
          </w:tcPr>
          <w:p w14:paraId="5CD7CCCD">
            <w:pPr>
              <w:keepNext w:val="0"/>
              <w:keepLines w:val="0"/>
              <w:widowControl/>
              <w:suppressLineNumbers w:val="0"/>
              <w:jc w:val="center"/>
              <w:textAlignment w:val="center"/>
              <w:rPr>
                <w:rFonts w:hint="eastAsia" w:ascii="华文仿宋" w:hAnsi="华文仿宋" w:eastAsia="华文仿宋" w:cs="华文仿宋"/>
                <w:i w:val="0"/>
                <w:iCs w:val="0"/>
                <w:color w:val="000000"/>
                <w:sz w:val="20"/>
                <w:szCs w:val="20"/>
                <w:u w:val="none"/>
              </w:rPr>
            </w:pPr>
            <w:r>
              <w:rPr>
                <w:rFonts w:hint="eastAsia" w:ascii="华文仿宋" w:hAnsi="华文仿宋" w:eastAsia="华文仿宋" w:cs="华文仿宋"/>
                <w:i w:val="0"/>
                <w:iCs w:val="0"/>
                <w:color w:val="000000"/>
                <w:kern w:val="0"/>
                <w:sz w:val="20"/>
                <w:szCs w:val="20"/>
                <w:u w:val="none"/>
                <w:lang w:val="en-US" w:eastAsia="zh-CN" w:bidi="ar"/>
              </w:rPr>
              <w:t>电子政务专题</w:t>
            </w:r>
          </w:p>
        </w:tc>
        <w:tc>
          <w:tcPr>
            <w:tcW w:w="700" w:type="dxa"/>
            <w:tcBorders>
              <w:top w:val="single" w:color="000000" w:sz="4" w:space="0"/>
              <w:left w:val="single" w:color="000000" w:sz="4" w:space="0"/>
              <w:bottom w:val="single" w:color="000000" w:sz="4" w:space="0"/>
              <w:right w:val="single" w:color="000000" w:sz="4" w:space="0"/>
            </w:tcBorders>
            <w:shd w:val="clear"/>
            <w:vAlign w:val="center"/>
          </w:tcPr>
          <w:p w14:paraId="5E8A54CE">
            <w:pPr>
              <w:keepNext w:val="0"/>
              <w:keepLines w:val="0"/>
              <w:widowControl/>
              <w:suppressLineNumbers w:val="0"/>
              <w:jc w:val="center"/>
              <w:textAlignment w:val="center"/>
              <w:rPr>
                <w:rFonts w:hint="eastAsia" w:ascii="华文仿宋" w:hAnsi="华文仿宋" w:eastAsia="华文仿宋" w:cs="华文仿宋"/>
                <w:i w:val="0"/>
                <w:iCs w:val="0"/>
                <w:color w:val="000000"/>
                <w:sz w:val="20"/>
                <w:szCs w:val="20"/>
                <w:u w:val="none"/>
              </w:rPr>
            </w:pPr>
            <w:r>
              <w:rPr>
                <w:rFonts w:hint="eastAsia" w:ascii="华文仿宋" w:hAnsi="华文仿宋" w:eastAsia="华文仿宋" w:cs="华文仿宋"/>
                <w:i w:val="0"/>
                <w:iCs w:val="0"/>
                <w:color w:val="000000"/>
                <w:kern w:val="0"/>
                <w:sz w:val="20"/>
                <w:szCs w:val="20"/>
                <w:u w:val="none"/>
                <w:bdr w:val="none" w:color="auto" w:sz="0" w:space="0"/>
                <w:lang w:val="en-US" w:eastAsia="zh-CN" w:bidi="ar"/>
              </w:rPr>
              <w:t>1</w:t>
            </w:r>
          </w:p>
        </w:tc>
      </w:tr>
    </w:tbl>
    <w:p w14:paraId="02B4FC07">
      <w:pPr>
        <w:pStyle w:val="8"/>
        <w:spacing w:line="360" w:lineRule="exact"/>
        <w:ind w:firstLine="480"/>
        <w:rPr>
          <w:rFonts w:hint="eastAsia" w:ascii="Times New Roman" w:hAnsi="Times New Roman" w:eastAsia="仿宋_GB2312"/>
          <w:bCs/>
          <w:sz w:val="24"/>
          <w:szCs w:val="24"/>
          <w:lang w:val="en-US" w:eastAsia="zh-CN"/>
        </w:rPr>
      </w:pPr>
    </w:p>
    <w:p w14:paraId="6626DB52">
      <w:pPr>
        <w:numPr>
          <w:ilvl w:val="0"/>
          <w:numId w:val="0"/>
        </w:numPr>
        <w:spacing w:line="360" w:lineRule="exact"/>
        <w:rPr>
          <w:rFonts w:hint="default" w:ascii="Times New Roman" w:hAnsi="Times New Roman" w:eastAsia="黑体"/>
          <w:bCs/>
          <w:sz w:val="24"/>
          <w:szCs w:val="24"/>
          <w:lang w:val="en-US" w:eastAsia="zh-CN"/>
        </w:rPr>
      </w:pPr>
      <w:r>
        <w:rPr>
          <w:rFonts w:hint="eastAsia" w:ascii="Times New Roman" w:hAnsi="Times New Roman" w:eastAsia="黑体"/>
          <w:bCs/>
          <w:sz w:val="24"/>
          <w:szCs w:val="24"/>
          <w:lang w:val="en-US" w:eastAsia="zh-CN"/>
        </w:rPr>
        <w:t>三、学位与学制</w:t>
      </w:r>
    </w:p>
    <w:p w14:paraId="498E79A1">
      <w:pPr>
        <w:pStyle w:val="9"/>
        <w:adjustRightInd w:val="0"/>
        <w:spacing w:line="360" w:lineRule="exact"/>
        <w:ind w:firstLine="480"/>
        <w:rPr>
          <w:rFonts w:hint="eastAsia" w:ascii="Times New Roman" w:hAnsi="Times New Roman" w:eastAsia="仿宋_GB2312" w:cs="宋体"/>
          <w:bCs/>
          <w:kern w:val="2"/>
          <w:sz w:val="24"/>
          <w:szCs w:val="24"/>
          <w:lang w:val="en-US" w:eastAsia="zh-CN" w:bidi="ar-SA"/>
        </w:rPr>
      </w:pPr>
      <w:r>
        <w:rPr>
          <w:rFonts w:hint="eastAsia" w:ascii="Times New Roman" w:hAnsi="Times New Roman" w:eastAsia="仿宋_GB2312" w:cs="宋体"/>
          <w:bCs/>
          <w:kern w:val="2"/>
          <w:sz w:val="24"/>
          <w:szCs w:val="24"/>
          <w:lang w:val="en-US" w:eastAsia="zh-CN" w:bidi="ar-SA"/>
        </w:rPr>
        <w:t>同等学力人员申请硕士学位分为三个阶段: 第一阶段为课程学习培养阶段（简称第一阶段），第二阶段为取得全国统一考试阶段（简称第二阶段），第三阶段为撰写学位论文及答辩阶段（简称第三阶段）。</w:t>
      </w:r>
    </w:p>
    <w:p w14:paraId="0DA41444">
      <w:pPr>
        <w:pStyle w:val="9"/>
        <w:adjustRightInd w:val="0"/>
        <w:spacing w:line="360" w:lineRule="exact"/>
        <w:ind w:firstLine="480"/>
        <w:rPr>
          <w:rFonts w:hint="eastAsia" w:ascii="Times New Roman" w:hAnsi="Times New Roman" w:eastAsia="仿宋_GB2312" w:cs="宋体"/>
          <w:bCs/>
          <w:kern w:val="2"/>
          <w:sz w:val="24"/>
          <w:szCs w:val="24"/>
          <w:lang w:val="en-US" w:eastAsia="zh-CN" w:bidi="ar-SA"/>
        </w:rPr>
      </w:pPr>
      <w:r>
        <w:rPr>
          <w:rFonts w:hint="eastAsia" w:ascii="Times New Roman" w:hAnsi="Times New Roman" w:eastAsia="仿宋_GB2312" w:cs="宋体"/>
          <w:bCs/>
          <w:kern w:val="2"/>
          <w:sz w:val="24"/>
          <w:szCs w:val="24"/>
          <w:lang w:val="en-US" w:eastAsia="zh-CN" w:bidi="ar-SA"/>
        </w:rPr>
        <w:t>申请人自通过资格审查之日起，按学校教学进度安排，修完第一阶段的江西财经大学同等学力规定的全部课程，按要求参加课程考试，课程学习期一般为1年，采取周末网络远程/自学相结合的方式，完成学习并通过课程考试，成绩合格，颁发江西财经大学结业证书。</w:t>
      </w:r>
    </w:p>
    <w:p w14:paraId="122872B1">
      <w:pPr>
        <w:pStyle w:val="9"/>
        <w:adjustRightInd w:val="0"/>
        <w:spacing w:line="360" w:lineRule="exact"/>
        <w:ind w:firstLine="480"/>
        <w:rPr>
          <w:rFonts w:hint="eastAsia" w:ascii="Times New Roman" w:hAnsi="Times New Roman" w:eastAsia="仿宋_GB2312" w:cs="宋体"/>
          <w:bCs/>
          <w:kern w:val="2"/>
          <w:sz w:val="24"/>
          <w:szCs w:val="24"/>
          <w:lang w:val="en-US" w:eastAsia="zh-CN" w:bidi="ar-SA"/>
        </w:rPr>
      </w:pPr>
      <w:r>
        <w:rPr>
          <w:rFonts w:hint="eastAsia" w:ascii="Times New Roman" w:hAnsi="Times New Roman" w:eastAsia="仿宋_GB2312" w:cs="宋体"/>
          <w:bCs/>
          <w:kern w:val="2"/>
          <w:sz w:val="24"/>
          <w:szCs w:val="24"/>
          <w:lang w:val="en-US" w:eastAsia="zh-CN" w:bidi="ar-SA"/>
        </w:rPr>
        <w:t>获得学士学位满三年，可申请第二阶段的全国统考硕士学位外国语水平和学科综合水平考试。统考每年举行一次，3月初报名，5月下旬考试。四年内未全部通过课程和全国统一考试者，所修课程学分无效。</w:t>
      </w:r>
    </w:p>
    <w:p w14:paraId="17959322">
      <w:pPr>
        <w:pStyle w:val="9"/>
        <w:adjustRightInd w:val="0"/>
        <w:spacing w:line="360" w:lineRule="exact"/>
        <w:ind w:firstLine="480"/>
        <w:rPr>
          <w:rFonts w:hint="eastAsia" w:ascii="Times New Roman" w:hAnsi="Times New Roman" w:eastAsia="仿宋_GB2312" w:cs="宋体"/>
          <w:bCs/>
          <w:kern w:val="2"/>
          <w:sz w:val="24"/>
          <w:szCs w:val="24"/>
          <w:lang w:val="en-US" w:eastAsia="zh-CN" w:bidi="ar-SA"/>
        </w:rPr>
      </w:pPr>
      <w:r>
        <w:rPr>
          <w:rFonts w:hint="eastAsia" w:ascii="Times New Roman" w:hAnsi="Times New Roman" w:eastAsia="仿宋_GB2312" w:cs="宋体"/>
          <w:bCs/>
          <w:kern w:val="2"/>
          <w:sz w:val="24"/>
          <w:szCs w:val="24"/>
          <w:lang w:val="en-US" w:eastAsia="zh-CN" w:bidi="ar-SA"/>
        </w:rPr>
        <w:t>申请人完成本项目研修课程学习，并通过外国语水平全国统考和学科综合水平全国统考后，进入申请硕士学位阶段。第三阶段须在通过全部课程考试（含两门全国统考科目）后的一年内提交学位论文，论文答辩在申请人提交论文后的半年内进行。</w:t>
      </w:r>
    </w:p>
    <w:p w14:paraId="1139E0BF">
      <w:pPr>
        <w:pStyle w:val="8"/>
        <w:spacing w:line="360" w:lineRule="exact"/>
        <w:ind w:firstLine="480"/>
        <w:rPr>
          <w:rFonts w:hint="eastAsia" w:ascii="Times New Roman" w:hAnsi="Times New Roman" w:eastAsia="仿宋_GB2312"/>
          <w:bCs/>
          <w:sz w:val="24"/>
          <w:szCs w:val="24"/>
        </w:rPr>
      </w:pPr>
      <w:r>
        <w:rPr>
          <w:rFonts w:hint="eastAsia" w:ascii="仿宋" w:hAnsi="仿宋" w:eastAsia="仿宋"/>
          <w:sz w:val="24"/>
          <w:szCs w:val="24"/>
        </w:rPr>
        <w:t>本专业学位</w:t>
      </w:r>
      <w:r>
        <w:rPr>
          <w:rFonts w:hint="eastAsia" w:ascii="Times New Roman" w:hAnsi="Times New Roman" w:eastAsia="仿宋_GB2312"/>
          <w:bCs/>
          <w:sz w:val="24"/>
          <w:szCs w:val="24"/>
        </w:rPr>
        <w:t>研究生学制为</w:t>
      </w:r>
      <w:r>
        <w:rPr>
          <w:rFonts w:hint="eastAsia" w:ascii="Times New Roman" w:hAnsi="Times New Roman" w:eastAsia="仿宋_GB2312"/>
          <w:bCs/>
          <w:sz w:val="24"/>
          <w:szCs w:val="24"/>
          <w:highlight w:val="none"/>
          <w:lang w:val="en-US" w:eastAsia="zh-CN"/>
        </w:rPr>
        <w:t>2.5</w:t>
      </w:r>
      <w:r>
        <w:rPr>
          <w:rFonts w:hint="eastAsia" w:ascii="Times New Roman" w:hAnsi="Times New Roman" w:eastAsia="仿宋_GB2312"/>
          <w:bCs/>
          <w:sz w:val="24"/>
          <w:szCs w:val="24"/>
          <w:highlight w:val="none"/>
        </w:rPr>
        <w:t>年</w:t>
      </w:r>
      <w:r>
        <w:rPr>
          <w:rFonts w:hint="eastAsia" w:ascii="Times New Roman" w:hAnsi="Times New Roman" w:eastAsia="仿宋_GB2312"/>
          <w:bCs/>
          <w:sz w:val="24"/>
          <w:szCs w:val="24"/>
        </w:rPr>
        <w:t>，最长不超过5年。包括课程学习</w:t>
      </w:r>
      <w:r>
        <w:rPr>
          <w:rFonts w:hint="eastAsia" w:ascii="Times New Roman" w:hAnsi="Times New Roman" w:eastAsia="仿宋_GB2312"/>
          <w:bCs/>
          <w:sz w:val="24"/>
          <w:szCs w:val="24"/>
          <w:lang w:eastAsia="zh-CN"/>
        </w:rPr>
        <w:t>、</w:t>
      </w:r>
      <w:r>
        <w:rPr>
          <w:rFonts w:hint="eastAsia" w:ascii="Times New Roman" w:hAnsi="Times New Roman" w:eastAsia="仿宋_GB2312"/>
          <w:bCs/>
          <w:sz w:val="24"/>
          <w:szCs w:val="24"/>
          <w:lang w:val="en-US" w:eastAsia="zh-CN"/>
        </w:rPr>
        <w:t>申硕考试</w:t>
      </w:r>
      <w:r>
        <w:rPr>
          <w:rFonts w:hint="eastAsia" w:ascii="Times New Roman" w:hAnsi="Times New Roman" w:eastAsia="仿宋_GB2312"/>
          <w:bCs/>
          <w:sz w:val="24"/>
          <w:szCs w:val="24"/>
        </w:rPr>
        <w:t>和学位论文</w:t>
      </w:r>
      <w:r>
        <w:rPr>
          <w:rFonts w:hint="eastAsia" w:ascii="Times New Roman" w:hAnsi="Times New Roman" w:eastAsia="仿宋_GB2312"/>
          <w:bCs/>
          <w:sz w:val="24"/>
          <w:szCs w:val="24"/>
          <w:lang w:val="en-US" w:eastAsia="zh-CN"/>
        </w:rPr>
        <w:t>三</w:t>
      </w:r>
      <w:r>
        <w:rPr>
          <w:rFonts w:hint="eastAsia" w:ascii="Times New Roman" w:hAnsi="Times New Roman" w:eastAsia="仿宋_GB2312"/>
          <w:bCs/>
          <w:sz w:val="24"/>
          <w:szCs w:val="24"/>
        </w:rPr>
        <w:t>个培养环节，课程由公共课程</w:t>
      </w:r>
      <w:r>
        <w:rPr>
          <w:rFonts w:hint="eastAsia" w:ascii="Times New Roman" w:hAnsi="Times New Roman" w:eastAsia="仿宋_GB2312"/>
          <w:bCs/>
          <w:sz w:val="24"/>
          <w:szCs w:val="24"/>
          <w:lang w:val="en-US" w:eastAsia="zh-CN"/>
        </w:rPr>
        <w:t>和</w:t>
      </w:r>
      <w:r>
        <w:rPr>
          <w:rFonts w:hint="eastAsia" w:ascii="Times New Roman" w:hAnsi="Times New Roman" w:eastAsia="仿宋_GB2312"/>
          <w:bCs/>
          <w:sz w:val="24"/>
          <w:szCs w:val="24"/>
        </w:rPr>
        <w:t>专业课程组成。</w:t>
      </w:r>
    </w:p>
    <w:p w14:paraId="7F40F8AE">
      <w:pPr>
        <w:pStyle w:val="8"/>
        <w:spacing w:line="360" w:lineRule="exact"/>
        <w:ind w:firstLine="480"/>
        <w:rPr>
          <w:rFonts w:hint="eastAsia" w:ascii="Times New Roman" w:hAnsi="Times New Roman" w:eastAsia="仿宋_GB2312"/>
          <w:bCs/>
          <w:sz w:val="24"/>
          <w:szCs w:val="24"/>
        </w:rPr>
      </w:pPr>
    </w:p>
    <w:p w14:paraId="70008461">
      <w:pPr>
        <w:pStyle w:val="4"/>
        <w:keepNext w:val="0"/>
        <w:keepLines w:val="0"/>
        <w:pageBreakBefore w:val="0"/>
        <w:widowControl/>
        <w:suppressLineNumbers w:val="0"/>
        <w:shd w:val="clear" w:color="auto" w:fill="FFFFFF"/>
        <w:kinsoku/>
        <w:wordWrap/>
        <w:overflowPunct/>
        <w:topLinePunct w:val="0"/>
        <w:autoSpaceDE/>
        <w:autoSpaceDN/>
        <w:bidi w:val="0"/>
        <w:adjustRightInd/>
        <w:snapToGrid/>
        <w:spacing w:before="100" w:beforeAutospacing="0" w:after="100" w:afterAutospacing="0"/>
        <w:textAlignment w:val="auto"/>
        <w:rPr>
          <w:rFonts w:ascii="Times New Roman" w:hAnsi="Times New Roman" w:eastAsia="黑体" w:cs="宋体"/>
          <w:bCs/>
          <w:kern w:val="2"/>
          <w:sz w:val="24"/>
          <w:szCs w:val="24"/>
          <w:lang w:val="en-US" w:bidi="ar-SA"/>
        </w:rPr>
      </w:pPr>
      <w:r>
        <w:rPr>
          <w:rFonts w:hint="eastAsia" w:ascii="Times New Roman" w:hAnsi="Times New Roman" w:eastAsia="黑体"/>
          <w:bCs/>
          <w:sz w:val="24"/>
          <w:szCs w:val="24"/>
          <w:lang w:val="en-US" w:eastAsia="zh-CN"/>
        </w:rPr>
        <w:t>四</w:t>
      </w:r>
      <w:r>
        <w:rPr>
          <w:rFonts w:ascii="Times New Roman" w:hAnsi="Times New Roman" w:eastAsia="黑体"/>
          <w:bCs/>
          <w:sz w:val="24"/>
          <w:szCs w:val="24"/>
        </w:rPr>
        <w:t>、</w:t>
      </w:r>
      <w:r>
        <w:rPr>
          <w:rFonts w:hint="eastAsia" w:ascii="Times New Roman" w:hAnsi="Times New Roman" w:eastAsia="黑体" w:cs="宋体"/>
          <w:bCs/>
          <w:kern w:val="2"/>
          <w:sz w:val="24"/>
          <w:szCs w:val="24"/>
          <w:lang w:val="en-US" w:bidi="ar-SA"/>
        </w:rPr>
        <w:t>缴纳学费</w:t>
      </w:r>
    </w:p>
    <w:p w14:paraId="7B8E50F5">
      <w:pPr>
        <w:pStyle w:val="4"/>
        <w:keepNext w:val="0"/>
        <w:keepLines w:val="0"/>
        <w:widowControl/>
        <w:suppressLineNumbers w:val="0"/>
        <w:shd w:val="clear" w:color="auto" w:fill="FFFFFF"/>
        <w:spacing w:line="240" w:lineRule="atLeast"/>
        <w:ind w:left="0" w:firstLine="280"/>
        <w:jc w:val="both"/>
        <w:rPr>
          <w:rFonts w:hint="eastAsia" w:ascii="仿宋_GB2312" w:hAnsi="仿宋_GB2312" w:eastAsia="仿宋_GB2312" w:cs="仿宋_GB2312"/>
          <w:bCs/>
          <w:kern w:val="2"/>
          <w:sz w:val="24"/>
          <w:szCs w:val="24"/>
          <w:lang w:val="en-US" w:eastAsia="zh-CN" w:bidi="ar-SA"/>
        </w:rPr>
      </w:pPr>
      <w:r>
        <w:rPr>
          <w:rFonts w:hint="eastAsia" w:ascii="仿宋_GB2312" w:hAnsi="仿宋_GB2312" w:eastAsia="仿宋_GB2312" w:cs="仿宋_GB2312"/>
          <w:bCs/>
          <w:kern w:val="2"/>
          <w:sz w:val="24"/>
          <w:szCs w:val="24"/>
          <w:lang w:val="en-US" w:eastAsia="zh-CN" w:bidi="ar-SA"/>
        </w:rPr>
        <w:t>根据我校下发的《江西财经大学同等学力人员申请硕士学位收入管理办法》的通知（江财财务字【2022】4号）文件精神，从即日起，学费缴纳分两段制进行，即课程学习阶段和撰写学位论文及答辩阶段。课程学习阶段学费为</w:t>
      </w:r>
      <w:r>
        <w:rPr>
          <w:rFonts w:hint="default" w:ascii="仿宋_GB2312" w:hAnsi="仿宋_GB2312" w:eastAsia="仿宋_GB2312" w:cs="仿宋_GB2312"/>
          <w:bCs/>
          <w:kern w:val="2"/>
          <w:sz w:val="24"/>
          <w:szCs w:val="24"/>
          <w:lang w:val="en-US" w:eastAsia="zh-CN" w:bidi="ar-SA"/>
        </w:rPr>
        <w:t>15000</w:t>
      </w:r>
      <w:r>
        <w:rPr>
          <w:rFonts w:hint="eastAsia" w:ascii="仿宋_GB2312" w:hAnsi="仿宋_GB2312" w:eastAsia="仿宋_GB2312" w:cs="仿宋_GB2312"/>
          <w:bCs/>
          <w:kern w:val="2"/>
          <w:sz w:val="24"/>
          <w:szCs w:val="24"/>
          <w:lang w:val="en-US" w:eastAsia="zh-CN" w:bidi="ar-SA"/>
        </w:rPr>
        <w:t>元，教材、资料自理。撰写学位论文及答辩阶段学费为10000元，各项收费实际以学校相关规定为准。学生缴纳相关费用后，可获得学校财务处开具的电子缴费发票。</w:t>
      </w:r>
    </w:p>
    <w:p w14:paraId="06E215FC">
      <w:pPr>
        <w:pStyle w:val="4"/>
        <w:keepNext w:val="0"/>
        <w:keepLines w:val="0"/>
        <w:widowControl/>
        <w:suppressLineNumbers w:val="0"/>
        <w:shd w:val="clear" w:color="auto" w:fill="FFFFFF"/>
        <w:spacing w:before="100" w:beforeAutospacing="0" w:after="100" w:afterAutospacing="0"/>
        <w:ind w:left="0" w:firstLine="0"/>
        <w:jc w:val="left"/>
        <w:rPr>
          <w:rFonts w:hint="eastAsia" w:ascii="Times New Roman" w:hAnsi="Times New Roman" w:eastAsia="黑体" w:cs="宋体"/>
          <w:bCs/>
          <w:kern w:val="2"/>
          <w:sz w:val="24"/>
          <w:szCs w:val="24"/>
          <w:lang w:val="en-US" w:eastAsia="zh-CN" w:bidi="ar-SA"/>
        </w:rPr>
      </w:pPr>
      <w:r>
        <w:rPr>
          <w:rFonts w:hint="eastAsia" w:ascii="Times New Roman" w:hAnsi="Times New Roman" w:eastAsia="黑体" w:cs="宋体"/>
          <w:bCs/>
          <w:kern w:val="2"/>
          <w:sz w:val="24"/>
          <w:szCs w:val="24"/>
          <w:lang w:val="en-US" w:eastAsia="zh-CN" w:bidi="ar-SA"/>
        </w:rPr>
        <w:t>九、报名流程</w:t>
      </w:r>
    </w:p>
    <w:p w14:paraId="2661ABEE">
      <w:pPr>
        <w:bidi w:val="0"/>
        <w:rPr>
          <w:rFonts w:hint="default" w:ascii="仿宋" w:hAnsi="仿宋" w:eastAsia="仿宋" w:cs="仿宋"/>
          <w:sz w:val="24"/>
          <w:szCs w:val="32"/>
          <w:lang w:val="en-US" w:eastAsia="zh-CN"/>
        </w:rPr>
      </w:pPr>
      <w:r>
        <w:rPr>
          <w:rFonts w:hint="default" w:ascii="仿宋" w:hAnsi="仿宋" w:eastAsia="仿宋" w:cs="仿宋"/>
          <w:sz w:val="24"/>
          <w:szCs w:val="32"/>
          <w:lang w:val="en-US" w:eastAsia="zh-CN"/>
        </w:rPr>
        <w:t>报名时需提交以下材料：</w:t>
      </w:r>
    </w:p>
    <w:p w14:paraId="2024D276">
      <w:pPr>
        <w:bidi w:val="0"/>
        <w:rPr>
          <w:rFonts w:hint="default" w:ascii="仿宋" w:hAnsi="仿宋" w:eastAsia="仿宋" w:cs="仿宋"/>
          <w:sz w:val="24"/>
          <w:szCs w:val="32"/>
          <w:lang w:val="en-US" w:eastAsia="zh-CN"/>
        </w:rPr>
      </w:pPr>
      <w:r>
        <w:rPr>
          <w:rFonts w:hint="default" w:ascii="仿宋" w:hAnsi="仿宋" w:eastAsia="仿宋" w:cs="仿宋"/>
          <w:sz w:val="24"/>
          <w:szCs w:val="32"/>
          <w:lang w:val="en-US" w:eastAsia="zh-CN"/>
        </w:rPr>
        <w:t>1．报名表</w:t>
      </w:r>
    </w:p>
    <w:p w14:paraId="433793B8">
      <w:pPr>
        <w:bidi w:val="0"/>
        <w:rPr>
          <w:rFonts w:hint="default" w:ascii="仿宋" w:hAnsi="仿宋" w:eastAsia="仿宋" w:cs="仿宋"/>
          <w:sz w:val="24"/>
          <w:szCs w:val="32"/>
          <w:lang w:val="en-US" w:eastAsia="zh-CN"/>
        </w:rPr>
      </w:pPr>
      <w:r>
        <w:rPr>
          <w:rFonts w:hint="default" w:ascii="仿宋" w:hAnsi="仿宋" w:eastAsia="仿宋" w:cs="仿宋"/>
          <w:sz w:val="24"/>
          <w:szCs w:val="32"/>
          <w:lang w:val="en-US" w:eastAsia="zh-CN"/>
        </w:rPr>
        <w:t>2．本人身份证正、反面电子稿；</w:t>
      </w:r>
    </w:p>
    <w:p w14:paraId="11BEA859">
      <w:pPr>
        <w:bidi w:val="0"/>
        <w:rPr>
          <w:rFonts w:hint="default" w:ascii="仿宋" w:hAnsi="仿宋" w:eastAsia="仿宋" w:cs="仿宋"/>
          <w:sz w:val="24"/>
          <w:szCs w:val="32"/>
          <w:lang w:val="en-US" w:eastAsia="zh-CN"/>
        </w:rPr>
      </w:pPr>
      <w:r>
        <w:rPr>
          <w:rFonts w:hint="default" w:ascii="仿宋" w:hAnsi="仿宋" w:eastAsia="仿宋" w:cs="仿宋"/>
          <w:sz w:val="24"/>
          <w:szCs w:val="32"/>
          <w:lang w:val="en-US" w:eastAsia="zh-CN"/>
        </w:rPr>
        <w:t>3．本人学历毕业证书和学位证书电子稿；</w:t>
      </w:r>
    </w:p>
    <w:p w14:paraId="25C18C84">
      <w:pPr>
        <w:bidi w:val="0"/>
        <w:rPr>
          <w:rFonts w:hint="default" w:ascii="仿宋" w:hAnsi="仿宋" w:eastAsia="仿宋" w:cs="仿宋"/>
          <w:sz w:val="24"/>
          <w:szCs w:val="32"/>
          <w:lang w:val="en-US" w:eastAsia="zh-CN"/>
        </w:rPr>
      </w:pPr>
      <w:r>
        <w:rPr>
          <w:rFonts w:hint="default" w:ascii="仿宋" w:hAnsi="仿宋" w:eastAsia="仿宋" w:cs="仿宋"/>
          <w:sz w:val="24"/>
          <w:szCs w:val="32"/>
          <w:lang w:val="en-US" w:eastAsia="zh-CN"/>
        </w:rPr>
        <w:t>4．本人近期免冠1寸蓝底彩照；</w:t>
      </w:r>
    </w:p>
    <w:p w14:paraId="489D76E4">
      <w:pPr>
        <w:bidi w:val="0"/>
        <w:rPr>
          <w:rFonts w:hint="default" w:ascii="仿宋" w:hAnsi="仿宋" w:eastAsia="仿宋" w:cs="仿宋"/>
          <w:sz w:val="24"/>
          <w:szCs w:val="32"/>
          <w:lang w:val="en-US" w:eastAsia="zh-CN"/>
        </w:rPr>
      </w:pPr>
      <w:r>
        <w:rPr>
          <w:rFonts w:hint="default" w:ascii="仿宋" w:hAnsi="仿宋" w:eastAsia="仿宋" w:cs="仿宋"/>
          <w:sz w:val="24"/>
          <w:szCs w:val="32"/>
          <w:lang w:val="en-US" w:eastAsia="zh-CN"/>
        </w:rPr>
        <w:t>5．告知书。</w:t>
      </w:r>
    </w:p>
    <w:p w14:paraId="1C95E331">
      <w:pPr>
        <w:bidi w:val="0"/>
        <w:rPr>
          <w:rFonts w:hint="default" w:ascii="仿宋" w:hAnsi="仿宋" w:eastAsia="仿宋" w:cs="仿宋"/>
          <w:sz w:val="24"/>
          <w:szCs w:val="32"/>
          <w:lang w:val="en-US" w:eastAsia="zh-CN"/>
        </w:rPr>
      </w:pPr>
    </w:p>
    <w:p w14:paraId="2A387A48">
      <w:pPr>
        <w:bidi w:val="0"/>
        <w:rPr>
          <w:rFonts w:hint="default" w:ascii="仿宋" w:hAnsi="仿宋" w:eastAsia="仿宋" w:cs="仿宋"/>
          <w:sz w:val="24"/>
          <w:szCs w:val="32"/>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00"/>
    <w:family w:val="auto"/>
    <w:pitch w:val="default"/>
    <w:sig w:usb0="00000000" w:usb1="00000000" w:usb2="00000000" w:usb3="00000000" w:csb0="00040001" w:csb1="00000000"/>
  </w:font>
  <w:font w:name="仿宋">
    <w:panose1 w:val="02010609060101010101"/>
    <w:charset w:val="86"/>
    <w:family w:val="modern"/>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KSOFE44F9426">
    <w:panose1 w:val="02010609060101010101"/>
    <w:charset w:val="86"/>
    <w:family w:val="auto"/>
    <w:pitch w:val="default"/>
    <w:sig w:usb0="00000001" w:usb1="00000000" w:usb2="00000000" w:usb3="00000000" w:csb0="00040001" w:csb1="00000000"/>
  </w:font>
  <w:font w:name="华文仿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592B1B"/>
    <w:rsid w:val="03C52F1A"/>
    <w:rsid w:val="0ED96FBA"/>
    <w:rsid w:val="10384CFC"/>
    <w:rsid w:val="12B02AA2"/>
    <w:rsid w:val="150F1EAB"/>
    <w:rsid w:val="18540D97"/>
    <w:rsid w:val="1B5C578B"/>
    <w:rsid w:val="1B5C620C"/>
    <w:rsid w:val="20B77960"/>
    <w:rsid w:val="27812EB1"/>
    <w:rsid w:val="2A8F2436"/>
    <w:rsid w:val="2C597D1A"/>
    <w:rsid w:val="30246F0B"/>
    <w:rsid w:val="312078D0"/>
    <w:rsid w:val="33657AB4"/>
    <w:rsid w:val="43B22B37"/>
    <w:rsid w:val="43C50361"/>
    <w:rsid w:val="460261E6"/>
    <w:rsid w:val="54BE49E9"/>
    <w:rsid w:val="609D5BF6"/>
    <w:rsid w:val="638017F1"/>
    <w:rsid w:val="65E92A01"/>
    <w:rsid w:val="69E574B5"/>
    <w:rsid w:val="70336BD2"/>
    <w:rsid w:val="74911176"/>
    <w:rsid w:val="7DE744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4"/>
      <w:lang w:val="en-US" w:eastAsia="zh-CN" w:bidi="ar-SA"/>
    </w:rPr>
  </w:style>
  <w:style w:type="paragraph" w:styleId="2">
    <w:name w:val="heading 3"/>
    <w:basedOn w:val="1"/>
    <w:next w:val="1"/>
    <w:qFormat/>
    <w:uiPriority w:val="0"/>
    <w:pPr>
      <w:keepNext/>
      <w:keepLines/>
      <w:spacing w:before="260" w:beforeAutospacing="0" w:after="260" w:afterAutospacing="0" w:line="413" w:lineRule="auto"/>
      <w:outlineLvl w:val="2"/>
    </w:pPr>
    <w:rPr>
      <w:b/>
      <w:sz w:val="32"/>
    </w:rPr>
  </w:style>
  <w:style w:type="character" w:default="1" w:styleId="6">
    <w:name w:val="Default Paragraph Font"/>
    <w:qFormat/>
    <w:uiPriority w:val="0"/>
  </w:style>
  <w:style w:type="table" w:default="1" w:styleId="5">
    <w:name w:val="Normal Table"/>
    <w:qFormat/>
    <w:uiPriority w:val="0"/>
    <w:tblPr>
      <w:tblCellMar>
        <w:top w:w="0" w:type="dxa"/>
        <w:left w:w="108" w:type="dxa"/>
        <w:bottom w:w="0" w:type="dxa"/>
        <w:right w:w="108" w:type="dxa"/>
      </w:tblCellMar>
    </w:tblPr>
  </w:style>
  <w:style w:type="paragraph" w:styleId="3">
    <w:name w:val="Body Text"/>
    <w:basedOn w:val="1"/>
    <w:semiHidden/>
    <w:qFormat/>
    <w:uiPriority w:val="0"/>
    <w:rPr>
      <w:rFonts w:ascii="华文仿宋" w:hAnsi="华文仿宋" w:eastAsia="华文仿宋" w:cs="华文仿宋"/>
      <w:sz w:val="24"/>
      <w:szCs w:val="24"/>
      <w:lang w:val="en-US" w:eastAsia="en-US" w:bidi="ar-SA"/>
    </w:rPr>
  </w:style>
  <w:style w:type="paragraph" w:styleId="4">
    <w:name w:val="Normal (Web)"/>
    <w:basedOn w:val="1"/>
    <w:qFormat/>
    <w:uiPriority w:val="0"/>
    <w:pPr>
      <w:spacing w:before="0" w:beforeAutospacing="1" w:after="0" w:afterAutospacing="1"/>
      <w:ind w:left="0" w:right="0"/>
      <w:jc w:val="left"/>
    </w:pPr>
    <w:rPr>
      <w:kern w:val="0"/>
      <w:sz w:val="24"/>
      <w:lang w:val="en-US" w:eastAsia="zh-CN"/>
    </w:rPr>
  </w:style>
  <w:style w:type="character" w:styleId="7">
    <w:name w:val="Strong"/>
    <w:basedOn w:val="6"/>
    <w:qFormat/>
    <w:uiPriority w:val="0"/>
    <w:rPr>
      <w:b/>
    </w:rPr>
  </w:style>
  <w:style w:type="paragraph" w:customStyle="1" w:styleId="8">
    <w:name w:val="_Style 1"/>
    <w:basedOn w:val="1"/>
    <w:qFormat/>
    <w:uiPriority w:val="34"/>
    <w:pPr>
      <w:ind w:firstLine="420" w:firstLineChars="200"/>
    </w:pPr>
  </w:style>
  <w:style w:type="paragraph" w:styleId="9">
    <w:name w:val="List Paragraph"/>
    <w:basedOn w:val="1"/>
    <w:qFormat/>
    <w:uiPriority w:val="34"/>
    <w:pPr>
      <w:ind w:firstLine="420" w:firstLineChars="200"/>
    </w:pPr>
  </w:style>
  <w:style w:type="table" w:customStyle="1" w:styleId="10">
    <w:name w:val="Table Normal"/>
    <w:semiHidden/>
    <w:unhideWhenUsed/>
    <w:qFormat/>
    <w:uiPriority w:val="0"/>
    <w:tblPr>
      <w:tblCellMar>
        <w:top w:w="0" w:type="dxa"/>
        <w:left w:w="0" w:type="dxa"/>
        <w:bottom w:w="0" w:type="dxa"/>
        <w:right w:w="0" w:type="dxa"/>
      </w:tblCellMar>
    </w:tblPr>
  </w:style>
  <w:style w:type="paragraph" w:customStyle="1" w:styleId="11">
    <w:name w:val="Table Text"/>
    <w:basedOn w:val="1"/>
    <w:semiHidden/>
    <w:qFormat/>
    <w:uiPriority w:val="0"/>
    <w:rPr>
      <w:rFonts w:ascii="华文仿宋" w:hAnsi="华文仿宋" w:eastAsia="华文仿宋" w:cs="华文仿宋"/>
      <w:sz w:val="20"/>
      <w:szCs w:val="20"/>
      <w:lang w:val="en-US" w:eastAsia="en-U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3390</Words>
  <Characters>3476</Characters>
  <Paragraphs>271</Paragraphs>
  <TotalTime>2</TotalTime>
  <ScaleCrop>false</ScaleCrop>
  <LinksUpToDate>false</LinksUpToDate>
  <CharactersWithSpaces>3494</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2024-12-17T05:42:00Z</dcterms:created>
  <dc:creator>CP3</dc:creator>
  <cp:lastModifiedBy>人事尹老师</cp:lastModifiedBy>
  <dcterms:modified xsi:type="dcterms:W3CDTF">2026-01-20T06:45:24Z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C1BFDD39F055472F9D1C4F56DA920B0D_13</vt:lpwstr>
  </property>
  <property fmtid="{D5CDD505-2E9C-101B-9397-08002B2CF9AE}" pid="4" name="KSOTemplateDocerSaveRecord">
    <vt:lpwstr>eyJoZGlkIjoiYjM3NzQzZWVkNmFmNThmMDQyYWRhYjg2ZDJmNDhiYmEiLCJ1c2VySWQiOiIxMjk3NjkzNDEyIn0=</vt:lpwstr>
  </property>
</Properties>
</file>