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rPr>
      </w:pPr>
    </w:p>
    <w:p>
      <w:pPr>
        <w:spacing w:before="312" w:beforeLines="100"/>
        <w:jc w:val="center"/>
        <w:rPr>
          <w:rFonts w:ascii="Times New Roman" w:hAnsi="Times New Roman" w:eastAsia="宋体" w:cs="宋体"/>
          <w:b/>
          <w:bCs/>
          <w:sz w:val="32"/>
          <w:szCs w:val="32"/>
        </w:rPr>
      </w:pPr>
      <w:r>
        <w:rPr>
          <w:rFonts w:hint="eastAsia" w:ascii="Times New Roman" w:hAnsi="Times New Roman" w:eastAsia="宋体" w:cs="宋体"/>
          <w:b/>
          <w:bCs/>
          <w:sz w:val="32"/>
          <w:szCs w:val="32"/>
        </w:rPr>
        <w:t>江西财经大学马克思主义学院马克思主义理论专业</w:t>
      </w:r>
    </w:p>
    <w:p>
      <w:pPr>
        <w:jc w:val="center"/>
        <w:rPr>
          <w:rFonts w:ascii="Times New Roman" w:hAnsi="Times New Roman" w:eastAsia="宋体" w:cs="宋体"/>
          <w:b/>
          <w:bCs/>
          <w:sz w:val="32"/>
          <w:szCs w:val="32"/>
        </w:rPr>
      </w:pPr>
      <w:r>
        <w:rPr>
          <w:rFonts w:hint="eastAsia" w:ascii="Times New Roman" w:hAnsi="Times New Roman" w:eastAsia="宋体" w:cs="宋体"/>
          <w:b/>
          <w:bCs/>
          <w:sz w:val="32"/>
          <w:szCs w:val="32"/>
        </w:rPr>
        <w:t>同等学力申请硕士学位招生简章</w:t>
      </w:r>
    </w:p>
    <w:p>
      <w:pPr>
        <w:spacing w:line="360" w:lineRule="auto"/>
        <w:ind w:firstLine="420" w:firstLineChars="200"/>
        <w:rPr>
          <w:rFonts w:ascii="Times New Roman" w:hAnsi="Times New Roman" w:eastAsia="宋体"/>
        </w:rPr>
      </w:pPr>
      <w:r>
        <w:rPr>
          <w:rFonts w:hint="eastAsia" w:ascii="Times New Roman" w:hAnsi="Times New Roman" w:eastAsia="宋体"/>
        </w:rPr>
        <w:t>江西财经大学是一所财政部、教育部、江西省人民政府共建，以经济、管理类学科为主，法、工、文、理、艺术等学科协调发展的高等财经学府。学校秉承“信敏廉毅”的校训和“敬业乐群、臻于至善”的大学精神，形成了培养具有“信敏廉毅”素质的创新创业型人才的办学特色。</w:t>
      </w:r>
    </w:p>
    <w:p>
      <w:pPr>
        <w:spacing w:line="360" w:lineRule="auto"/>
        <w:ind w:firstLine="420" w:firstLineChars="200"/>
        <w:rPr>
          <w:rFonts w:ascii="Times New Roman" w:hAnsi="Times New Roman" w:eastAsia="宋体"/>
        </w:rPr>
      </w:pPr>
      <w:r>
        <w:rPr>
          <w:rFonts w:hint="eastAsia" w:ascii="Times New Roman" w:hAnsi="Times New Roman" w:eastAsia="宋体"/>
        </w:rPr>
        <w:t>马克思主义学院是学校独立设置的思想政治理论课教学和马克思主义理论研究的专门机构，是马克思主义理论学科和思想政治教育专业人才培养单位。经过历代学人的艰苦创业，学院为江西省重点马克思主义学院。学院拥有教育部全国高校黄大年式教师团队“红色资源教学科研开发利用教师团队”1个，全国高校思政课名师工作室1个，省级“劳模工作室”1个，省级“名师工作室”1个。学院拥有一支职称结构合理、教学经验丰富、学术造诣较深、发展态势强劲的师资队伍，其中享受国务院政府特殊津贴2人，中组部国家级人才1人，中宣部“四个一批”（含青年）人才2人，教育部新世纪优秀人才支持计划人选1人，教育部高等学校思想政治理论课教学指导委员会委员1人，高校思想政治理论课教师年度影响力标兵人物1人，教育部择优资助计划人选2人；享受省政府特殊津贴1人，赣鄱英才555工程人选2人，赣鄱俊才文化领军人才1人，省百千万人才工程人选1人，省“四个一批”人才2人，省“五一”劳动奖章1人，霍英东教育基金会高校青年教师奖获得者1人，省中青年学科带头人3人，省思想政治教育教学名师2人，省十大优秀思想政治理论课教师3人，省青年金牌主讲教师1人；校首席教授1人，校百人计划（青年学科带头人）1人，教学“十佳”3人，金牌主讲教师17人。学院拥有国家一流本科课程3门（马克思主义基本原理、毛泽东思想和中国特色社会主义理论体系概论、中国革命新道路的开辟之旅虚拟仿真实验），国家“精品视频公开课”1门，省学位与研究生优质课程及各类省级精品课程</w:t>
      </w:r>
      <w:r>
        <w:rPr>
          <w:rFonts w:ascii="Times New Roman" w:hAnsi="Times New Roman" w:eastAsia="宋体"/>
        </w:rPr>
        <w:t>6</w:t>
      </w:r>
      <w:r>
        <w:rPr>
          <w:rFonts w:hint="eastAsia" w:ascii="Times New Roman" w:hAnsi="Times New Roman" w:eastAsia="宋体"/>
        </w:rPr>
        <w:t>门。</w:t>
      </w:r>
    </w:p>
    <w:p>
      <w:pPr>
        <w:numPr>
          <w:ilvl w:val="0"/>
          <w:numId w:val="1"/>
        </w:numPr>
        <w:outlineLvl w:val="0"/>
        <w:rPr>
          <w:rFonts w:ascii="Times New Roman" w:hAnsi="Times New Roman" w:eastAsia="宋体"/>
          <w:b/>
          <w:bCs/>
          <w:sz w:val="28"/>
          <w:szCs w:val="28"/>
        </w:rPr>
      </w:pPr>
      <w:r>
        <w:rPr>
          <w:rFonts w:hint="eastAsia" w:ascii="Times New Roman" w:hAnsi="Times New Roman" w:eastAsia="宋体"/>
          <w:b/>
          <w:bCs/>
          <w:sz w:val="28"/>
          <w:szCs w:val="28"/>
        </w:rPr>
        <w:t>专业简述</w:t>
      </w:r>
    </w:p>
    <w:p>
      <w:pPr>
        <w:spacing w:line="360" w:lineRule="auto"/>
        <w:ind w:firstLine="420" w:firstLineChars="200"/>
        <w:rPr>
          <w:rFonts w:ascii="Times New Roman" w:hAnsi="Times New Roman" w:eastAsia="宋体"/>
        </w:rPr>
      </w:pPr>
      <w:r>
        <w:rPr>
          <w:rFonts w:hint="eastAsia" w:ascii="Times New Roman" w:hAnsi="Times New Roman" w:eastAsia="宋体"/>
        </w:rPr>
        <w:t>马克思主义理论是江西财经大学重点建设的学科。2006年获得全国第一批马克思主义理论一级学科硕士学位授予权。2010年马克思主义理论获评江西省重点一级学科。现拥有“马克思主义理论”一级学科博士点、“马克思主义理论”博士后流动站，马克思主义理论一级学科硕士点。2</w:t>
      </w:r>
      <w:r>
        <w:rPr>
          <w:rFonts w:ascii="Times New Roman" w:hAnsi="Times New Roman" w:eastAsia="宋体"/>
        </w:rPr>
        <w:t>023</w:t>
      </w:r>
      <w:r>
        <w:rPr>
          <w:rFonts w:hint="eastAsia" w:ascii="Times New Roman" w:hAnsi="Times New Roman" w:eastAsia="宋体"/>
        </w:rPr>
        <w:t>年，本专业在软科中国最好学科排名中位列第4</w:t>
      </w:r>
      <w:r>
        <w:rPr>
          <w:rFonts w:ascii="Times New Roman" w:hAnsi="Times New Roman" w:eastAsia="宋体"/>
        </w:rPr>
        <w:t>8</w:t>
      </w:r>
      <w:r>
        <w:rPr>
          <w:rFonts w:hint="eastAsia" w:ascii="Times New Roman" w:hAnsi="Times New Roman" w:eastAsia="宋体"/>
        </w:rPr>
        <w:t>位。</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本专业拥有省社科重点研究基地——红色故事搜集整理与研究中心。研究成果丰硕，先后主持立项国家社科基金重大招标项目2项（陈始发：革命根据地法律文献整理与研究、刘晓泉：中国共产党信用票据史资料整理与研究），国家社科基金重点项目2项，国家社科基金一般项目、青年项目、后期资助项目43项，全国教育科学规划项目1项，教育部人文社科项目22项，省社科规划项目68项，省高校人文社科项目55项，省教育科学规划项目12项，省教改项目33项。学院教师在《马克思主义研究》《哲学研究》《马克思主义与现实》《自然辩证法研究》《中共党史研究》《当代中国史研究》《当代世界与社会主义》《求是》《人民日报》《光明日报》《经济日报》等刊物发表学术论文400余篇，出版专著、教材60余部，获省社科优秀成果奖一等奖等30余项，应邀出席习近平总书记主持的学校思想政治理论课教师座谈会（3·18座谈会）、中组部和中宣部等八部委联合举办的全国纪念中国共产党成立90周年理论研讨会、纪念马克思诞辰200周年大会等重要学术会议。</w:t>
      </w:r>
    </w:p>
    <w:p>
      <w:pPr>
        <w:numPr>
          <w:ilvl w:val="0"/>
          <w:numId w:val="1"/>
        </w:numPr>
        <w:outlineLvl w:val="0"/>
        <w:rPr>
          <w:rFonts w:ascii="Times New Roman" w:hAnsi="Times New Roman" w:eastAsia="宋体"/>
          <w:b/>
          <w:bCs/>
          <w:sz w:val="28"/>
          <w:szCs w:val="28"/>
        </w:rPr>
      </w:pPr>
      <w:r>
        <w:rPr>
          <w:rFonts w:hint="eastAsia" w:ascii="Times New Roman" w:hAnsi="Times New Roman" w:eastAsia="宋体"/>
          <w:b/>
          <w:bCs/>
          <w:sz w:val="28"/>
          <w:szCs w:val="28"/>
        </w:rPr>
        <w:t>培养目标</w:t>
      </w:r>
    </w:p>
    <w:p>
      <w:pPr>
        <w:spacing w:line="360" w:lineRule="auto"/>
        <w:ind w:firstLine="420" w:firstLineChars="200"/>
        <w:rPr>
          <w:rFonts w:ascii="Times New Roman" w:hAnsi="Times New Roman" w:eastAsia="宋体"/>
        </w:rPr>
      </w:pPr>
      <w:r>
        <w:rPr>
          <w:rFonts w:hint="eastAsia" w:ascii="Times New Roman" w:hAnsi="Times New Roman" w:eastAsia="宋体"/>
        </w:rPr>
        <w:t>培养具有坚定的马克思主义信仰和社会主义信念，牢固树立建设中国特色社会主义共同理想，德智体美全面发展，熟悉马克思主义经典著作，有比较深厚的马克思主义的理论功底和专业基础知识，能够较好地运用马克思主义立场、观点和方法研究和分析现实社会问题，具有“信敏廉毅”素质、具备一定创新能力、胜任本学科相关的教学科研和党务工作的高层次骨干人才。</w:t>
      </w:r>
    </w:p>
    <w:p>
      <w:pPr>
        <w:numPr>
          <w:ilvl w:val="0"/>
          <w:numId w:val="1"/>
        </w:numPr>
        <w:outlineLvl w:val="0"/>
        <w:rPr>
          <w:rFonts w:ascii="Times New Roman" w:hAnsi="Times New Roman" w:eastAsia="宋体"/>
          <w:b/>
          <w:bCs/>
          <w:sz w:val="28"/>
          <w:szCs w:val="28"/>
        </w:rPr>
      </w:pPr>
      <w:r>
        <w:rPr>
          <w:rFonts w:hint="eastAsia" w:ascii="Times New Roman" w:hAnsi="Times New Roman" w:eastAsia="宋体"/>
          <w:b/>
          <w:bCs/>
          <w:sz w:val="28"/>
          <w:szCs w:val="28"/>
        </w:rPr>
        <w:t>招生条件</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1.拥护《中华人民共和国宪法》，遵守法律、法规，品行端正。</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2.具有大学本科学历，获得学士学位，并获得学士学位两年以上，或虽无本科学士学位但已获得硕士或博士学位者。对已获得的学士、硕士或博士学位为国（境）外学位的，其所获的国（境）外学位需经教育部留学服务中心认证。</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3.学士学位未满三年者可以先入学参加课程学习，待满三年后可参加报名参加外语水平全国统一考试。</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4.具有大学本科学历，但无学士学位或大专学历者可参加课程学习，课程考试合格可获得江西财经大学研究生课程结业证书，但不能申请学位。</w:t>
      </w:r>
    </w:p>
    <w:p>
      <w:pPr>
        <w:numPr>
          <w:ilvl w:val="0"/>
          <w:numId w:val="1"/>
        </w:numPr>
        <w:outlineLvl w:val="0"/>
        <w:rPr>
          <w:rFonts w:hint="eastAsia" w:ascii="Times New Roman" w:hAnsi="Times New Roman" w:eastAsia="宋体"/>
          <w:b/>
          <w:bCs/>
          <w:sz w:val="28"/>
          <w:szCs w:val="28"/>
        </w:rPr>
      </w:pPr>
      <w:r>
        <w:rPr>
          <w:rFonts w:hint="eastAsia" w:ascii="Times New Roman" w:hAnsi="Times New Roman" w:eastAsia="宋体"/>
          <w:b/>
          <w:bCs/>
          <w:sz w:val="28"/>
          <w:szCs w:val="28"/>
        </w:rPr>
        <w:t>课程设置</w:t>
      </w:r>
    </w:p>
    <w:tbl>
      <w:tblPr>
        <w:tblStyle w:val="6"/>
        <w:tblW w:w="8574" w:type="dxa"/>
        <w:tblInd w:w="93" w:type="dxa"/>
        <w:tblLayout w:type="fixed"/>
        <w:tblCellMar>
          <w:top w:w="0" w:type="dxa"/>
          <w:left w:w="108" w:type="dxa"/>
          <w:bottom w:w="0" w:type="dxa"/>
          <w:right w:w="108" w:type="dxa"/>
        </w:tblCellMar>
      </w:tblPr>
      <w:tblGrid>
        <w:gridCol w:w="539"/>
        <w:gridCol w:w="1108"/>
        <w:gridCol w:w="3625"/>
        <w:gridCol w:w="912"/>
        <w:gridCol w:w="1137"/>
        <w:gridCol w:w="1253"/>
      </w:tblGrid>
      <w:tr>
        <w:tblPrEx>
          <w:tblCellMar>
            <w:top w:w="0" w:type="dxa"/>
            <w:left w:w="108" w:type="dxa"/>
            <w:bottom w:w="0" w:type="dxa"/>
            <w:right w:w="108" w:type="dxa"/>
          </w:tblCellMar>
        </w:tblPrEx>
        <w:trPr>
          <w:trHeight w:val="540" w:hRule="atLeast"/>
        </w:trPr>
        <w:tc>
          <w:tcPr>
            <w:tcW w:w="1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b/>
                <w:bCs/>
                <w:color w:val="000000"/>
                <w:sz w:val="28"/>
                <w:szCs w:val="28"/>
              </w:rPr>
            </w:pPr>
            <w:r>
              <w:rPr>
                <w:rFonts w:hint="eastAsia" w:ascii="仿宋_GB2312" w:hAnsi="宋体" w:eastAsia="仿宋_GB2312" w:cs="仿宋_GB2312"/>
                <w:b/>
                <w:bCs/>
                <w:color w:val="000000"/>
                <w:kern w:val="0"/>
                <w:sz w:val="28"/>
                <w:szCs w:val="28"/>
                <w:lang w:bidi="ar"/>
              </w:rPr>
              <w:t>课程类别</w:t>
            </w:r>
          </w:p>
        </w:tc>
        <w:tc>
          <w:tcPr>
            <w:tcW w:w="36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b/>
                <w:bCs/>
                <w:color w:val="000000"/>
                <w:sz w:val="28"/>
                <w:szCs w:val="28"/>
              </w:rPr>
            </w:pPr>
            <w:r>
              <w:rPr>
                <w:rFonts w:hint="eastAsia" w:ascii="仿宋_GB2312" w:hAnsi="宋体" w:eastAsia="仿宋_GB2312" w:cs="仿宋_GB2312"/>
                <w:b/>
                <w:bCs/>
                <w:color w:val="000000"/>
                <w:kern w:val="0"/>
                <w:sz w:val="28"/>
                <w:szCs w:val="28"/>
                <w:lang w:bidi="ar"/>
              </w:rPr>
              <w:t>课程</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b/>
                <w:bCs/>
                <w:color w:val="000000"/>
                <w:sz w:val="28"/>
                <w:szCs w:val="28"/>
              </w:rPr>
            </w:pPr>
            <w:r>
              <w:rPr>
                <w:rFonts w:hint="eastAsia" w:ascii="仿宋_GB2312" w:hAnsi="宋体" w:eastAsia="仿宋_GB2312" w:cs="仿宋_GB2312"/>
                <w:b/>
                <w:bCs/>
                <w:color w:val="000000"/>
                <w:kern w:val="0"/>
                <w:sz w:val="28"/>
                <w:szCs w:val="28"/>
                <w:lang w:bidi="ar"/>
              </w:rPr>
              <w:t>学分</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b/>
                <w:bCs/>
                <w:color w:val="000000"/>
                <w:sz w:val="28"/>
                <w:szCs w:val="28"/>
              </w:rPr>
            </w:pPr>
            <w:r>
              <w:rPr>
                <w:rFonts w:hint="eastAsia" w:ascii="仿宋_GB2312" w:hAnsi="宋体" w:eastAsia="仿宋_GB2312" w:cs="仿宋_GB2312"/>
                <w:b/>
                <w:bCs/>
                <w:color w:val="000000"/>
                <w:kern w:val="0"/>
                <w:sz w:val="28"/>
                <w:szCs w:val="28"/>
                <w:lang w:bidi="ar"/>
              </w:rPr>
              <w:t>总学时</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b/>
                <w:bCs/>
                <w:color w:val="000000"/>
                <w:kern w:val="0"/>
                <w:sz w:val="28"/>
                <w:szCs w:val="28"/>
                <w:lang w:bidi="ar"/>
              </w:rPr>
            </w:pPr>
            <w:r>
              <w:rPr>
                <w:rFonts w:hint="eastAsia" w:ascii="仿宋_GB2312" w:hAnsi="宋体" w:eastAsia="仿宋_GB2312" w:cs="仿宋_GB2312"/>
                <w:b/>
                <w:bCs/>
                <w:color w:val="000000"/>
                <w:kern w:val="0"/>
                <w:sz w:val="28"/>
                <w:szCs w:val="28"/>
                <w:lang w:bidi="ar"/>
              </w:rPr>
              <w:t>考核</w:t>
            </w:r>
          </w:p>
          <w:p>
            <w:pPr>
              <w:widowControl/>
              <w:adjustRightInd w:val="0"/>
              <w:snapToGrid w:val="0"/>
              <w:jc w:val="center"/>
              <w:textAlignment w:val="center"/>
              <w:rPr>
                <w:rFonts w:ascii="仿宋_GB2312" w:hAnsi="宋体" w:eastAsia="仿宋_GB2312" w:cs="仿宋_GB2312"/>
                <w:b/>
                <w:bCs/>
                <w:color w:val="000000"/>
                <w:sz w:val="28"/>
                <w:szCs w:val="28"/>
              </w:rPr>
            </w:pPr>
            <w:r>
              <w:rPr>
                <w:rFonts w:hint="eastAsia" w:ascii="仿宋_GB2312" w:hAnsi="宋体" w:eastAsia="仿宋_GB2312" w:cs="仿宋_GB2312"/>
                <w:b/>
                <w:bCs/>
                <w:color w:val="000000"/>
                <w:kern w:val="0"/>
                <w:sz w:val="28"/>
                <w:szCs w:val="28"/>
                <w:lang w:bidi="ar"/>
              </w:rPr>
              <w:t>方式</w:t>
            </w:r>
          </w:p>
        </w:tc>
      </w:tr>
      <w:tr>
        <w:tblPrEx>
          <w:tblCellMar>
            <w:top w:w="0" w:type="dxa"/>
            <w:left w:w="108" w:type="dxa"/>
            <w:bottom w:w="0" w:type="dxa"/>
            <w:right w:w="108" w:type="dxa"/>
          </w:tblCellMar>
        </w:tblPrEx>
        <w:trPr>
          <w:trHeight w:val="375" w:hRule="atLeast"/>
        </w:trPr>
        <w:tc>
          <w:tcPr>
            <w:tcW w:w="5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学位课</w:t>
            </w:r>
          </w:p>
        </w:tc>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公共</w:t>
            </w:r>
          </w:p>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必修课</w:t>
            </w:r>
          </w:p>
        </w:tc>
        <w:tc>
          <w:tcPr>
            <w:tcW w:w="36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新时代中国特色社会主义理论与实践</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2</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32</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sz w:val="24"/>
              </w:rPr>
              <w:t>考试</w:t>
            </w:r>
          </w:p>
        </w:tc>
      </w:tr>
      <w:tr>
        <w:tblPrEx>
          <w:tblCellMar>
            <w:top w:w="0" w:type="dxa"/>
            <w:left w:w="108" w:type="dxa"/>
            <w:bottom w:w="0" w:type="dxa"/>
            <w:right w:w="108" w:type="dxa"/>
          </w:tblCellMar>
        </w:tblPrEx>
        <w:trPr>
          <w:trHeight w:val="37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36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综合英语</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64</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sz w:val="24"/>
              </w:rPr>
              <w:t>考试</w:t>
            </w:r>
          </w:p>
        </w:tc>
      </w:tr>
      <w:tr>
        <w:tblPrEx>
          <w:tblCellMar>
            <w:top w:w="0" w:type="dxa"/>
            <w:left w:w="108" w:type="dxa"/>
            <w:bottom w:w="0" w:type="dxa"/>
            <w:right w:w="108" w:type="dxa"/>
          </w:tblCellMar>
        </w:tblPrEx>
        <w:trPr>
          <w:trHeight w:val="37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36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宋体" w:hAnsi="宋体" w:eastAsia="宋体" w:cs="宋体"/>
                <w:color w:val="000000"/>
                <w:kern w:val="0"/>
                <w:szCs w:val="21"/>
                <w:lang w:bidi="ar"/>
              </w:rPr>
              <w:t>马克思主义与社会科学方法论</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1</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16</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考试</w:t>
            </w:r>
          </w:p>
        </w:tc>
      </w:tr>
      <w:tr>
        <w:tblPrEx>
          <w:tblCellMar>
            <w:top w:w="0" w:type="dxa"/>
            <w:left w:w="108" w:type="dxa"/>
            <w:bottom w:w="0" w:type="dxa"/>
            <w:right w:w="108" w:type="dxa"/>
          </w:tblCellMar>
        </w:tblPrEx>
        <w:trPr>
          <w:trHeight w:val="37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专业</w:t>
            </w:r>
          </w:p>
          <w:p>
            <w:pPr>
              <w:widowControl/>
              <w:adjustRightInd w:val="0"/>
              <w:snapToGrid w:val="0"/>
              <w:jc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核心课</w:t>
            </w:r>
          </w:p>
        </w:tc>
        <w:tc>
          <w:tcPr>
            <w:tcW w:w="3625" w:type="dxa"/>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hAnsi="宋体" w:eastAsia="仿宋_GB2312" w:cs="仿宋_GB2312"/>
                <w:color w:val="000000"/>
                <w:kern w:val="0"/>
                <w:sz w:val="24"/>
                <w:lang w:bidi="ar"/>
              </w:rPr>
            </w:pPr>
            <w:r>
              <w:rPr>
                <w:rFonts w:hint="eastAsia" w:ascii="仿宋_GB2312" w:hAnsi="黑体" w:eastAsia="仿宋_GB2312"/>
                <w:sz w:val="24"/>
              </w:rPr>
              <w:t>马克思主义经典著作导读</w:t>
            </w:r>
          </w:p>
        </w:tc>
        <w:tc>
          <w:tcPr>
            <w:tcW w:w="912"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3</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48</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考试</w:t>
            </w:r>
          </w:p>
        </w:tc>
      </w:tr>
      <w:tr>
        <w:tblPrEx>
          <w:tblCellMar>
            <w:top w:w="0" w:type="dxa"/>
            <w:left w:w="108" w:type="dxa"/>
            <w:bottom w:w="0" w:type="dxa"/>
            <w:right w:w="108" w:type="dxa"/>
          </w:tblCellMar>
        </w:tblPrEx>
        <w:trPr>
          <w:trHeight w:val="37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continue"/>
            <w:tcBorders>
              <w:top w:val="single" w:color="000000" w:sz="4" w:space="0"/>
              <w:left w:val="single" w:color="000000" w:sz="4" w:space="0"/>
              <w:bottom w:val="nil"/>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kern w:val="0"/>
                <w:sz w:val="24"/>
                <w:lang w:bidi="ar"/>
              </w:rPr>
            </w:pPr>
          </w:p>
        </w:tc>
        <w:tc>
          <w:tcPr>
            <w:tcW w:w="3625" w:type="dxa"/>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hAnsi="宋体" w:eastAsia="仿宋_GB2312" w:cs="仿宋_GB2312"/>
                <w:color w:val="000000"/>
                <w:kern w:val="0"/>
                <w:sz w:val="24"/>
                <w:lang w:bidi="ar"/>
              </w:rPr>
            </w:pPr>
            <w:r>
              <w:rPr>
                <w:rFonts w:hint="eastAsia" w:ascii="仿宋_GB2312" w:hAnsi="黑体" w:eastAsia="仿宋_GB2312"/>
                <w:sz w:val="24"/>
              </w:rPr>
              <w:t>马克思主义发展史专题研究</w:t>
            </w:r>
          </w:p>
        </w:tc>
        <w:tc>
          <w:tcPr>
            <w:tcW w:w="912"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2</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32</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考试</w:t>
            </w:r>
          </w:p>
        </w:tc>
      </w:tr>
      <w:tr>
        <w:tblPrEx>
          <w:tblCellMar>
            <w:top w:w="0" w:type="dxa"/>
            <w:left w:w="108" w:type="dxa"/>
            <w:bottom w:w="0" w:type="dxa"/>
            <w:right w:w="108" w:type="dxa"/>
          </w:tblCellMar>
        </w:tblPrEx>
        <w:trPr>
          <w:trHeight w:val="37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continue"/>
            <w:tcBorders>
              <w:top w:val="nil"/>
              <w:left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kern w:val="0"/>
                <w:sz w:val="24"/>
                <w:lang w:bidi="ar"/>
              </w:rPr>
            </w:pPr>
          </w:p>
        </w:tc>
        <w:tc>
          <w:tcPr>
            <w:tcW w:w="3625" w:type="dxa"/>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hAnsi="宋体" w:eastAsia="仿宋_GB2312" w:cs="仿宋_GB2312"/>
                <w:color w:val="000000"/>
                <w:kern w:val="0"/>
                <w:sz w:val="24"/>
                <w:lang w:bidi="ar"/>
              </w:rPr>
            </w:pPr>
            <w:r>
              <w:rPr>
                <w:rFonts w:hint="eastAsia" w:ascii="仿宋_GB2312" w:hAnsi="黑体" w:eastAsia="仿宋_GB2312"/>
                <w:sz w:val="24"/>
              </w:rPr>
              <w:t>马克思主义基本原理专题研究</w:t>
            </w:r>
          </w:p>
        </w:tc>
        <w:tc>
          <w:tcPr>
            <w:tcW w:w="912"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2</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32</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考试</w:t>
            </w:r>
          </w:p>
        </w:tc>
      </w:tr>
      <w:tr>
        <w:tblPrEx>
          <w:tblCellMar>
            <w:top w:w="0" w:type="dxa"/>
            <w:left w:w="108" w:type="dxa"/>
            <w:bottom w:w="0" w:type="dxa"/>
            <w:right w:w="108" w:type="dxa"/>
          </w:tblCellMar>
        </w:tblPrEx>
        <w:trPr>
          <w:trHeight w:val="37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continue"/>
            <w:tcBorders>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kern w:val="0"/>
                <w:sz w:val="24"/>
                <w:lang w:bidi="ar"/>
              </w:rPr>
            </w:pPr>
          </w:p>
        </w:tc>
        <w:tc>
          <w:tcPr>
            <w:tcW w:w="36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习近平新时代中国特色社会主义思想研究</w:t>
            </w:r>
          </w:p>
        </w:tc>
        <w:tc>
          <w:tcPr>
            <w:tcW w:w="912"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2</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32</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考试</w:t>
            </w:r>
          </w:p>
        </w:tc>
      </w:tr>
      <w:tr>
        <w:tblPrEx>
          <w:tblCellMar>
            <w:top w:w="0" w:type="dxa"/>
            <w:left w:w="108" w:type="dxa"/>
            <w:bottom w:w="0" w:type="dxa"/>
            <w:right w:w="108" w:type="dxa"/>
          </w:tblCellMar>
        </w:tblPrEx>
        <w:trPr>
          <w:trHeight w:val="750" w:hRule="atLeast"/>
        </w:trPr>
        <w:tc>
          <w:tcPr>
            <w:tcW w:w="53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学科</w:t>
            </w:r>
          </w:p>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前沿课</w:t>
            </w:r>
          </w:p>
        </w:tc>
        <w:tc>
          <w:tcPr>
            <w:tcW w:w="36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马克思主义理论前沿问题研究</w:t>
            </w:r>
          </w:p>
        </w:tc>
        <w:tc>
          <w:tcPr>
            <w:tcW w:w="912"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2</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32</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考查</w:t>
            </w:r>
          </w:p>
        </w:tc>
      </w:tr>
      <w:tr>
        <w:tblPrEx>
          <w:tblCellMar>
            <w:top w:w="0" w:type="dxa"/>
            <w:left w:w="108" w:type="dxa"/>
            <w:bottom w:w="0" w:type="dxa"/>
            <w:right w:w="108" w:type="dxa"/>
          </w:tblCellMar>
        </w:tblPrEx>
        <w:trPr>
          <w:trHeight w:val="389" w:hRule="atLeast"/>
        </w:trPr>
        <w:tc>
          <w:tcPr>
            <w:tcW w:w="539" w:type="dxa"/>
            <w:vMerge w:val="restart"/>
            <w:tcBorders>
              <w:top w:val="single" w:color="auto" w:sz="4" w:space="0"/>
              <w:left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r>
              <w:rPr>
                <w:rFonts w:hint="eastAsia" w:ascii="仿宋_GB2312" w:hAnsi="宋体" w:eastAsia="仿宋_GB2312" w:cs="仿宋_GB2312"/>
                <w:color w:val="000000"/>
                <w:sz w:val="24"/>
              </w:rPr>
              <w:t>非学位课</w:t>
            </w:r>
          </w:p>
        </w:tc>
        <w:tc>
          <w:tcPr>
            <w:tcW w:w="1108" w:type="dxa"/>
            <w:vMerge w:val="restart"/>
            <w:tcBorders>
              <w:top w:val="single" w:color="auto" w:sz="4" w:space="0"/>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专业</w:t>
            </w:r>
          </w:p>
          <w:p>
            <w:pPr>
              <w:widowControl/>
              <w:adjustRightInd w:val="0"/>
              <w:snapToGrid w:val="0"/>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lang w:bidi="ar"/>
              </w:rPr>
              <w:t>素质课</w:t>
            </w:r>
          </w:p>
        </w:tc>
        <w:tc>
          <w:tcPr>
            <w:tcW w:w="3625"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仿宋_GB2312" w:eastAsia="仿宋_GB2312" w:cs="仿宋_GB2312"/>
                <w:sz w:val="24"/>
              </w:rPr>
              <w:t>中国化马克思主义文献选读</w:t>
            </w:r>
          </w:p>
        </w:tc>
        <w:tc>
          <w:tcPr>
            <w:tcW w:w="912"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2</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32</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考查</w:t>
            </w:r>
          </w:p>
        </w:tc>
      </w:tr>
      <w:tr>
        <w:tblPrEx>
          <w:tblCellMar>
            <w:top w:w="0" w:type="dxa"/>
            <w:left w:w="108" w:type="dxa"/>
            <w:bottom w:w="0" w:type="dxa"/>
            <w:right w:w="108" w:type="dxa"/>
          </w:tblCellMar>
        </w:tblPrEx>
        <w:trPr>
          <w:trHeight w:val="423" w:hRule="atLeast"/>
        </w:trPr>
        <w:tc>
          <w:tcPr>
            <w:tcW w:w="53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p>
        </w:tc>
        <w:tc>
          <w:tcPr>
            <w:tcW w:w="3625" w:type="dxa"/>
            <w:tcBorders>
              <w:top w:val="single" w:color="000000" w:sz="4" w:space="0"/>
              <w:left w:val="single" w:color="000000" w:sz="4" w:space="0"/>
              <w:bottom w:val="single" w:color="000000" w:sz="4" w:space="0"/>
              <w:right w:val="single" w:color="auto" w:sz="4" w:space="0"/>
            </w:tcBorders>
            <w:shd w:val="clear" w:color="auto" w:fill="auto"/>
            <w:vAlign w:val="center"/>
          </w:tcPr>
          <w:p>
            <w:pPr>
              <w:adjustRightInd w:val="0"/>
              <w:snapToGrid w:val="0"/>
              <w:jc w:val="center"/>
              <w:rPr>
                <w:rFonts w:ascii="仿宋_GB2312" w:hAnsi="宋体" w:eastAsia="仿宋_GB2312" w:cs="仿宋_GB2312"/>
                <w:color w:val="000000"/>
                <w:kern w:val="0"/>
                <w:sz w:val="24"/>
                <w:lang w:bidi="ar"/>
              </w:rPr>
            </w:pPr>
            <w:r>
              <w:rPr>
                <w:rFonts w:hint="eastAsia" w:ascii="仿宋_GB2312" w:hAnsi="黑体" w:eastAsia="仿宋_GB2312"/>
                <w:sz w:val="24"/>
              </w:rPr>
              <w:t>马克思主义中国化专题研究</w:t>
            </w:r>
          </w:p>
        </w:tc>
        <w:tc>
          <w:tcPr>
            <w:tcW w:w="912"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2</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32</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考查</w:t>
            </w:r>
          </w:p>
        </w:tc>
      </w:tr>
      <w:tr>
        <w:tblPrEx>
          <w:tblCellMar>
            <w:top w:w="0" w:type="dxa"/>
            <w:left w:w="108" w:type="dxa"/>
            <w:bottom w:w="0" w:type="dxa"/>
            <w:right w:w="108" w:type="dxa"/>
          </w:tblCellMar>
        </w:tblPrEx>
        <w:trPr>
          <w:trHeight w:val="335" w:hRule="atLeast"/>
        </w:trPr>
        <w:tc>
          <w:tcPr>
            <w:tcW w:w="53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p>
        </w:tc>
        <w:tc>
          <w:tcPr>
            <w:tcW w:w="3625"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黑体" w:eastAsia="仿宋_GB2312"/>
                <w:sz w:val="24"/>
              </w:rPr>
              <w:t>思想政治教育原理与方法</w:t>
            </w:r>
          </w:p>
        </w:tc>
        <w:tc>
          <w:tcPr>
            <w:tcW w:w="912"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2</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32</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考查</w:t>
            </w:r>
          </w:p>
        </w:tc>
      </w:tr>
      <w:tr>
        <w:tblPrEx>
          <w:tblCellMar>
            <w:top w:w="0" w:type="dxa"/>
            <w:left w:w="108" w:type="dxa"/>
            <w:bottom w:w="0" w:type="dxa"/>
            <w:right w:w="108" w:type="dxa"/>
          </w:tblCellMar>
        </w:tblPrEx>
        <w:trPr>
          <w:trHeight w:val="356" w:hRule="atLeast"/>
        </w:trPr>
        <w:tc>
          <w:tcPr>
            <w:tcW w:w="53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p>
        </w:tc>
        <w:tc>
          <w:tcPr>
            <w:tcW w:w="3625" w:type="dxa"/>
            <w:tcBorders>
              <w:top w:val="single" w:color="000000" w:sz="4" w:space="0"/>
              <w:left w:val="single" w:color="000000" w:sz="4" w:space="0"/>
              <w:bottom w:val="single" w:color="000000" w:sz="4" w:space="0"/>
              <w:right w:val="single" w:color="auto" w:sz="4" w:space="0"/>
            </w:tcBorders>
            <w:shd w:val="clear" w:color="auto" w:fill="auto"/>
            <w:vAlign w:val="center"/>
          </w:tcPr>
          <w:p>
            <w:pPr>
              <w:adjustRightInd w:val="0"/>
              <w:snapToGrid w:val="0"/>
              <w:jc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“四个选择”问题专题研究</w:t>
            </w:r>
          </w:p>
        </w:tc>
        <w:tc>
          <w:tcPr>
            <w:tcW w:w="912"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2</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32</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考查</w:t>
            </w:r>
          </w:p>
        </w:tc>
      </w:tr>
      <w:tr>
        <w:tblPrEx>
          <w:tblCellMar>
            <w:top w:w="0" w:type="dxa"/>
            <w:left w:w="108" w:type="dxa"/>
            <w:bottom w:w="0" w:type="dxa"/>
            <w:right w:w="108" w:type="dxa"/>
          </w:tblCellMar>
        </w:tblPrEx>
        <w:trPr>
          <w:trHeight w:val="350" w:hRule="atLeast"/>
        </w:trPr>
        <w:tc>
          <w:tcPr>
            <w:tcW w:w="53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p>
        </w:tc>
        <w:tc>
          <w:tcPr>
            <w:tcW w:w="3625"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黑体" w:eastAsia="仿宋_GB2312"/>
                <w:sz w:val="24"/>
              </w:rPr>
              <w:t>研究生学术论文写作训练</w:t>
            </w:r>
          </w:p>
        </w:tc>
        <w:tc>
          <w:tcPr>
            <w:tcW w:w="912"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1</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16</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考查</w:t>
            </w:r>
          </w:p>
        </w:tc>
      </w:tr>
      <w:tr>
        <w:tblPrEx>
          <w:tblCellMar>
            <w:top w:w="0" w:type="dxa"/>
            <w:left w:w="108" w:type="dxa"/>
            <w:bottom w:w="0" w:type="dxa"/>
            <w:right w:w="108" w:type="dxa"/>
          </w:tblCellMar>
        </w:tblPrEx>
        <w:trPr>
          <w:trHeight w:val="90" w:hRule="atLeast"/>
        </w:trPr>
        <w:tc>
          <w:tcPr>
            <w:tcW w:w="539" w:type="dxa"/>
            <w:vMerge w:val="continue"/>
            <w:tcBorders>
              <w:left w:val="single" w:color="000000" w:sz="4" w:space="0"/>
              <w:bottom w:val="single" w:color="auto"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vMerge w:val="continue"/>
            <w:tcBorders>
              <w:left w:val="single" w:color="000000" w:sz="4" w:space="0"/>
              <w:bottom w:val="single" w:color="auto"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p>
        </w:tc>
        <w:tc>
          <w:tcPr>
            <w:tcW w:w="3625"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黑体" w:eastAsia="仿宋_GB2312"/>
                <w:sz w:val="24"/>
              </w:rPr>
              <w:t>马列文献检索</w:t>
            </w:r>
          </w:p>
        </w:tc>
        <w:tc>
          <w:tcPr>
            <w:tcW w:w="912"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1</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16</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考查</w:t>
            </w:r>
          </w:p>
        </w:tc>
      </w:tr>
      <w:tr>
        <w:tblPrEx>
          <w:tblCellMar>
            <w:top w:w="0" w:type="dxa"/>
            <w:left w:w="108" w:type="dxa"/>
            <w:bottom w:w="0" w:type="dxa"/>
            <w:right w:w="108" w:type="dxa"/>
          </w:tblCellMar>
        </w:tblPrEx>
        <w:trPr>
          <w:trHeight w:val="312" w:hRule="atLeast"/>
        </w:trPr>
        <w:tc>
          <w:tcPr>
            <w:tcW w:w="539"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hAnsi="宋体" w:eastAsia="仿宋_GB2312" w:cs="仿宋_GB2312"/>
                <w:color w:val="000000"/>
                <w:sz w:val="24"/>
              </w:rPr>
            </w:pPr>
          </w:p>
        </w:tc>
        <w:tc>
          <w:tcPr>
            <w:tcW w:w="1108"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p>
        </w:tc>
        <w:tc>
          <w:tcPr>
            <w:tcW w:w="3625"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合计</w:t>
            </w:r>
          </w:p>
        </w:tc>
        <w:tc>
          <w:tcPr>
            <w:tcW w:w="912"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28</w:t>
            </w:r>
          </w:p>
        </w:tc>
        <w:tc>
          <w:tcPr>
            <w:tcW w:w="1137" w:type="dxa"/>
            <w:tcBorders>
              <w:top w:val="single" w:color="000000" w:sz="4" w:space="0"/>
              <w:left w:val="single" w:color="auto" w:sz="4" w:space="0"/>
              <w:bottom w:val="single" w:color="000000" w:sz="4" w:space="0"/>
              <w:right w:val="single" w:color="auto"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r>
              <w:rPr>
                <w:rFonts w:hint="eastAsia" w:ascii="仿宋_GB2312" w:hAnsi="宋体" w:eastAsia="仿宋_GB2312" w:cs="仿宋_GB2312"/>
                <w:color w:val="000000"/>
                <w:kern w:val="0"/>
                <w:sz w:val="24"/>
                <w:lang w:bidi="ar"/>
              </w:rPr>
              <w:t>448</w:t>
            </w:r>
          </w:p>
        </w:tc>
        <w:tc>
          <w:tcPr>
            <w:tcW w:w="1253"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hAnsi="宋体" w:eastAsia="仿宋_GB2312" w:cs="仿宋_GB2312"/>
                <w:color w:val="000000"/>
                <w:kern w:val="0"/>
                <w:sz w:val="24"/>
                <w:lang w:bidi="ar"/>
              </w:rPr>
            </w:pPr>
          </w:p>
        </w:tc>
      </w:tr>
    </w:tbl>
    <w:p>
      <w:pPr>
        <w:outlineLvl w:val="0"/>
        <w:rPr>
          <w:rFonts w:hint="eastAsia" w:ascii="Times New Roman" w:hAnsi="Times New Roman" w:eastAsia="宋体"/>
          <w:szCs w:val="21"/>
        </w:rPr>
      </w:pPr>
    </w:p>
    <w:p>
      <w:pPr>
        <w:numPr>
          <w:ilvl w:val="0"/>
          <w:numId w:val="1"/>
        </w:numPr>
        <w:spacing w:before="156" w:beforeLines="50" w:after="156" w:afterLines="50"/>
        <w:outlineLvl w:val="0"/>
        <w:rPr>
          <w:rFonts w:ascii="Times New Roman" w:hAnsi="Times New Roman" w:eastAsia="宋体"/>
          <w:b/>
          <w:bCs/>
          <w:sz w:val="28"/>
          <w:szCs w:val="28"/>
        </w:rPr>
      </w:pPr>
      <w:r>
        <w:rPr>
          <w:rFonts w:hint="eastAsia" w:ascii="Times New Roman" w:hAnsi="Times New Roman" w:eastAsia="宋体"/>
          <w:b/>
          <w:bCs/>
          <w:sz w:val="28"/>
          <w:szCs w:val="28"/>
          <w:lang w:val="en-US" w:eastAsia="zh-CN"/>
        </w:rPr>
        <w:t>学制学位</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同等学力人员申请硕士学位分为三个阶段</w:t>
      </w:r>
      <w:r>
        <w:rPr>
          <w:rFonts w:hint="eastAsia" w:ascii="Times New Roman" w:hAnsi="Times New Roman" w:eastAsia="宋体"/>
          <w:lang w:eastAsia="zh-CN"/>
        </w:rPr>
        <w:t>：</w:t>
      </w:r>
      <w:r>
        <w:rPr>
          <w:rFonts w:hint="eastAsia" w:ascii="Times New Roman" w:hAnsi="Times New Roman" w:eastAsia="宋体"/>
        </w:rPr>
        <w:t>课程学习培养阶段</w:t>
      </w:r>
      <w:r>
        <w:rPr>
          <w:rFonts w:hint="eastAsia" w:ascii="Times New Roman" w:hAnsi="Times New Roman" w:eastAsia="宋体"/>
          <w:lang w:eastAsia="zh-CN"/>
        </w:rPr>
        <w:t>（</w:t>
      </w:r>
      <w:r>
        <w:rPr>
          <w:rFonts w:hint="eastAsia" w:ascii="Times New Roman" w:hAnsi="Times New Roman" w:eastAsia="宋体"/>
        </w:rPr>
        <w:t>简称第一阶段</w:t>
      </w:r>
      <w:r>
        <w:rPr>
          <w:rFonts w:hint="eastAsia" w:ascii="Times New Roman" w:hAnsi="Times New Roman" w:eastAsia="宋体"/>
          <w:lang w:eastAsia="zh-CN"/>
        </w:rPr>
        <w:t>）</w:t>
      </w:r>
      <w:r>
        <w:rPr>
          <w:rFonts w:hint="eastAsia" w:ascii="Times New Roman" w:hAnsi="Times New Roman" w:eastAsia="宋体"/>
        </w:rPr>
        <w:t>、全国统一考试阶段</w:t>
      </w:r>
      <w:r>
        <w:rPr>
          <w:rFonts w:hint="eastAsia" w:ascii="Times New Roman" w:hAnsi="Times New Roman" w:eastAsia="宋体"/>
          <w:lang w:eastAsia="zh-CN"/>
        </w:rPr>
        <w:t>（</w:t>
      </w:r>
      <w:r>
        <w:rPr>
          <w:rFonts w:hint="eastAsia" w:ascii="Times New Roman" w:hAnsi="Times New Roman" w:eastAsia="宋体"/>
        </w:rPr>
        <w:t>简称第二阶段</w:t>
      </w:r>
      <w:r>
        <w:rPr>
          <w:rFonts w:hint="eastAsia" w:ascii="Times New Roman" w:hAnsi="Times New Roman" w:eastAsia="宋体"/>
          <w:lang w:eastAsia="zh-CN"/>
        </w:rPr>
        <w:t>）</w:t>
      </w:r>
      <w:r>
        <w:rPr>
          <w:rFonts w:hint="eastAsia" w:ascii="Times New Roman" w:hAnsi="Times New Roman" w:eastAsia="宋体"/>
        </w:rPr>
        <w:t>和撰写学位论文及答辩阶段</w:t>
      </w:r>
      <w:r>
        <w:rPr>
          <w:rFonts w:hint="eastAsia" w:ascii="Times New Roman" w:hAnsi="Times New Roman" w:eastAsia="宋体"/>
          <w:lang w:eastAsia="zh-CN"/>
        </w:rPr>
        <w:t>（</w:t>
      </w:r>
      <w:r>
        <w:rPr>
          <w:rFonts w:hint="eastAsia" w:ascii="Times New Roman" w:hAnsi="Times New Roman" w:eastAsia="宋体"/>
        </w:rPr>
        <w:t>简称第三阶段</w:t>
      </w:r>
      <w:r>
        <w:rPr>
          <w:rFonts w:hint="eastAsia" w:ascii="Times New Roman" w:hAnsi="Times New Roman" w:eastAsia="宋体"/>
          <w:lang w:eastAsia="zh-CN"/>
        </w:rPr>
        <w:t>）</w:t>
      </w:r>
      <w:r>
        <w:rPr>
          <w:rFonts w:hint="eastAsia" w:ascii="Times New Roman" w:hAnsi="Times New Roman" w:eastAsia="宋体"/>
        </w:rPr>
        <w:t>。</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1、第一阶段</w:t>
      </w:r>
      <w:r>
        <w:rPr>
          <w:rFonts w:hint="eastAsia" w:ascii="Times New Roman" w:hAnsi="Times New Roman" w:eastAsia="宋体"/>
          <w:lang w:eastAsia="zh-CN"/>
        </w:rPr>
        <w:t>（</w:t>
      </w:r>
      <w:r>
        <w:rPr>
          <w:rFonts w:hint="eastAsia" w:ascii="Times New Roman" w:hAnsi="Times New Roman" w:eastAsia="宋体"/>
          <w:lang w:val="en-US" w:eastAsia="zh-CN"/>
        </w:rPr>
        <w:t>课程学习</w:t>
      </w:r>
      <w:r>
        <w:rPr>
          <w:rFonts w:hint="eastAsia" w:ascii="Times New Roman" w:hAnsi="Times New Roman" w:eastAsia="宋体"/>
          <w:lang w:eastAsia="zh-CN"/>
        </w:rPr>
        <w:t>）：</w:t>
      </w:r>
      <w:r>
        <w:rPr>
          <w:rFonts w:hint="eastAsia" w:ascii="Times New Roman" w:hAnsi="Times New Roman" w:eastAsia="宋体"/>
        </w:rPr>
        <w:t>申请人自通过资格审查之日起</w:t>
      </w:r>
      <w:r>
        <w:rPr>
          <w:rFonts w:hint="eastAsia" w:ascii="Times New Roman" w:hAnsi="Times New Roman" w:eastAsia="宋体"/>
          <w:lang w:eastAsia="zh-CN"/>
        </w:rPr>
        <w:t>，</w:t>
      </w:r>
      <w:r>
        <w:rPr>
          <w:rFonts w:hint="eastAsia" w:ascii="Times New Roman" w:hAnsi="Times New Roman" w:eastAsia="宋体"/>
        </w:rPr>
        <w:t>按学校教学进度安排</w:t>
      </w:r>
      <w:r>
        <w:rPr>
          <w:rFonts w:hint="eastAsia" w:ascii="Times New Roman" w:hAnsi="Times New Roman" w:eastAsia="宋体"/>
          <w:lang w:eastAsia="zh-CN"/>
        </w:rPr>
        <w:t>，</w:t>
      </w:r>
      <w:r>
        <w:rPr>
          <w:rFonts w:hint="eastAsia" w:ascii="Times New Roman" w:hAnsi="Times New Roman" w:eastAsia="宋体"/>
        </w:rPr>
        <w:t>修完江西财经大学同等学力规定的全部课程</w:t>
      </w:r>
      <w:r>
        <w:rPr>
          <w:rFonts w:hint="eastAsia" w:ascii="Times New Roman" w:hAnsi="Times New Roman" w:eastAsia="宋体"/>
          <w:lang w:eastAsia="zh-CN"/>
        </w:rPr>
        <w:t>，</w:t>
      </w:r>
      <w:r>
        <w:rPr>
          <w:rFonts w:hint="eastAsia" w:ascii="Times New Roman" w:hAnsi="Times New Roman" w:eastAsia="宋体"/>
        </w:rPr>
        <w:t>按要求参加课程考试</w:t>
      </w:r>
      <w:r>
        <w:rPr>
          <w:rFonts w:hint="eastAsia" w:ascii="Times New Roman" w:hAnsi="Times New Roman" w:eastAsia="宋体"/>
          <w:lang w:eastAsia="zh-CN"/>
        </w:rPr>
        <w:t>，</w:t>
      </w:r>
      <w:r>
        <w:rPr>
          <w:rFonts w:hint="eastAsia" w:ascii="Times New Roman" w:hAnsi="Times New Roman" w:eastAsia="宋体"/>
        </w:rPr>
        <w:t>成绩合格</w:t>
      </w:r>
      <w:r>
        <w:rPr>
          <w:rFonts w:hint="eastAsia" w:ascii="Times New Roman" w:hAnsi="Times New Roman" w:eastAsia="宋体"/>
          <w:lang w:eastAsia="zh-CN"/>
        </w:rPr>
        <w:t>，</w:t>
      </w:r>
      <w:r>
        <w:rPr>
          <w:rFonts w:hint="eastAsia" w:ascii="Times New Roman" w:hAnsi="Times New Roman" w:eastAsia="宋体"/>
        </w:rPr>
        <w:t>可获待江西财经大学课程结业证书</w:t>
      </w:r>
      <w:r>
        <w:rPr>
          <w:rFonts w:hint="eastAsia" w:ascii="Times New Roman" w:hAnsi="Times New Roman" w:eastAsia="宋体"/>
          <w:lang w:eastAsia="zh-CN"/>
        </w:rPr>
        <w:t>（</w:t>
      </w:r>
      <w:r>
        <w:rPr>
          <w:rFonts w:hint="eastAsia" w:ascii="Times New Roman" w:hAnsi="Times New Roman" w:eastAsia="宋体"/>
          <w:lang w:val="en-US" w:eastAsia="zh-CN"/>
        </w:rPr>
        <w:t>为同等学力教育</w:t>
      </w:r>
      <w:r>
        <w:rPr>
          <w:rFonts w:hint="eastAsia" w:ascii="Times New Roman" w:hAnsi="Times New Roman" w:eastAsia="宋体"/>
          <w:lang w:eastAsia="zh-CN"/>
        </w:rPr>
        <w:t>）。</w:t>
      </w:r>
      <w:r>
        <w:rPr>
          <w:rFonts w:hint="eastAsia" w:ascii="Times New Roman" w:hAnsi="Times New Roman" w:eastAsia="宋体"/>
        </w:rPr>
        <w:t>课程学习期一般为1年</w:t>
      </w:r>
      <w:r>
        <w:rPr>
          <w:rFonts w:hint="eastAsia" w:ascii="Times New Roman" w:hAnsi="Times New Roman" w:eastAsia="宋体"/>
          <w:lang w:eastAsia="zh-CN"/>
        </w:rPr>
        <w:t>，</w:t>
      </w:r>
      <w:r>
        <w:rPr>
          <w:rFonts w:hint="eastAsia" w:ascii="Times New Roman" w:hAnsi="Times New Roman" w:eastAsia="宋体"/>
        </w:rPr>
        <w:t>每月集中</w:t>
      </w:r>
      <w:r>
        <w:rPr>
          <w:rFonts w:hint="eastAsia" w:ascii="Times New Roman" w:hAnsi="Times New Roman" w:eastAsia="宋体"/>
          <w:lang w:val="en-US" w:eastAsia="zh-CN"/>
        </w:rPr>
        <w:t>周末线上</w:t>
      </w:r>
      <w:r>
        <w:rPr>
          <w:rFonts w:hint="eastAsia" w:ascii="Times New Roman" w:hAnsi="Times New Roman" w:eastAsia="宋体"/>
        </w:rPr>
        <w:t>授课。</w:t>
      </w:r>
    </w:p>
    <w:p>
      <w:pPr>
        <w:spacing w:line="360" w:lineRule="auto"/>
        <w:ind w:firstLine="420" w:firstLineChars="200"/>
        <w:rPr>
          <w:rFonts w:hint="eastAsia" w:ascii="Times New Roman" w:hAnsi="Times New Roman" w:eastAsia="宋体"/>
          <w:lang w:eastAsia="zh-CN"/>
        </w:rPr>
      </w:pPr>
      <w:r>
        <w:rPr>
          <w:rFonts w:hint="eastAsia" w:ascii="Times New Roman" w:hAnsi="Times New Roman" w:eastAsia="宋体"/>
        </w:rPr>
        <w:t>2、第二阶段</w:t>
      </w:r>
      <w:r>
        <w:rPr>
          <w:rFonts w:hint="eastAsia" w:ascii="Times New Roman" w:hAnsi="Times New Roman" w:eastAsia="宋体"/>
          <w:lang w:eastAsia="zh-CN"/>
        </w:rPr>
        <w:t>（</w:t>
      </w:r>
      <w:r>
        <w:rPr>
          <w:rFonts w:hint="eastAsia" w:ascii="Times New Roman" w:hAnsi="Times New Roman" w:eastAsia="宋体"/>
          <w:lang w:val="en-US" w:eastAsia="zh-CN"/>
        </w:rPr>
        <w:t>全国统一考试</w:t>
      </w:r>
      <w:r>
        <w:rPr>
          <w:rFonts w:hint="eastAsia" w:ascii="Times New Roman" w:hAnsi="Times New Roman" w:eastAsia="宋体"/>
          <w:lang w:eastAsia="zh-CN"/>
        </w:rPr>
        <w:t>）：</w:t>
      </w:r>
      <w:r>
        <w:rPr>
          <w:rFonts w:hint="eastAsia" w:ascii="Times New Roman" w:hAnsi="Times New Roman" w:eastAsia="宋体"/>
        </w:rPr>
        <w:t>获得学士学位满3年并修满学校规定的学分者</w:t>
      </w:r>
      <w:r>
        <w:rPr>
          <w:rFonts w:hint="eastAsia" w:ascii="Times New Roman" w:hAnsi="Times New Roman" w:eastAsia="宋体"/>
          <w:lang w:eastAsia="zh-CN"/>
        </w:rPr>
        <w:t>，</w:t>
      </w:r>
      <w:r>
        <w:rPr>
          <w:rFonts w:hint="eastAsia" w:ascii="Times New Roman" w:hAnsi="Times New Roman" w:eastAsia="宋体"/>
        </w:rPr>
        <w:t>申请同等学力人员申请硕士学位外国语水平全国统一考试和学科专业综合考试。</w:t>
      </w:r>
      <w:r>
        <w:rPr>
          <w:rFonts w:hint="eastAsia" w:ascii="Times New Roman" w:hAnsi="Times New Roman" w:eastAsia="宋体"/>
          <w:lang w:eastAsia="zh-CN"/>
        </w:rPr>
        <w:t>（</w:t>
      </w:r>
      <w:r>
        <w:rPr>
          <w:rFonts w:hint="eastAsia" w:ascii="Times New Roman" w:hAnsi="Times New Roman" w:eastAsia="宋体"/>
          <w:lang w:val="en-US" w:eastAsia="zh-CN"/>
        </w:rPr>
        <w:t>每年一次</w:t>
      </w:r>
      <w:r>
        <w:rPr>
          <w:rFonts w:hint="eastAsia" w:ascii="Times New Roman" w:hAnsi="Times New Roman" w:eastAsia="宋体"/>
          <w:lang w:eastAsia="zh-CN"/>
        </w:rPr>
        <w:t>）</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3、第三阶段</w:t>
      </w:r>
      <w:r>
        <w:rPr>
          <w:rFonts w:hint="eastAsia" w:ascii="Times New Roman" w:hAnsi="Times New Roman" w:eastAsia="宋体"/>
          <w:lang w:eastAsia="zh-CN"/>
        </w:rPr>
        <w:t>（</w:t>
      </w:r>
      <w:r>
        <w:rPr>
          <w:rFonts w:hint="eastAsia" w:ascii="Times New Roman" w:hAnsi="Times New Roman" w:eastAsia="宋体"/>
        </w:rPr>
        <w:t>论文写作答辩</w:t>
      </w:r>
      <w:r>
        <w:rPr>
          <w:rFonts w:hint="eastAsia" w:ascii="Times New Roman" w:hAnsi="Times New Roman" w:eastAsia="宋体"/>
          <w:lang w:eastAsia="zh-CN"/>
        </w:rPr>
        <w:t>）；</w:t>
      </w:r>
      <w:r>
        <w:rPr>
          <w:rFonts w:hint="eastAsia" w:ascii="Times New Roman" w:hAnsi="Times New Roman" w:eastAsia="宋体"/>
        </w:rPr>
        <w:t>全国统一组织的外国语水平考试及学科专业综合考试成绩合格者</w:t>
      </w:r>
      <w:r>
        <w:rPr>
          <w:rFonts w:hint="eastAsia" w:ascii="Times New Roman" w:hAnsi="Times New Roman" w:eastAsia="宋体"/>
          <w:lang w:eastAsia="zh-CN"/>
        </w:rPr>
        <w:t>，</w:t>
      </w:r>
      <w:r>
        <w:rPr>
          <w:rFonts w:hint="eastAsia" w:ascii="Times New Roman" w:hAnsi="Times New Roman" w:eastAsia="宋体"/>
        </w:rPr>
        <w:t>并完成研究生课程学习者方可进入硕士学位论文写作阶段。</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 xml:space="preserve"> 论文通过评审、答辩</w:t>
      </w:r>
      <w:r>
        <w:rPr>
          <w:rFonts w:hint="eastAsia" w:ascii="Times New Roman" w:hAnsi="Times New Roman" w:eastAsia="宋体"/>
          <w:lang w:eastAsia="zh-CN"/>
        </w:rPr>
        <w:t>，</w:t>
      </w:r>
      <w:r>
        <w:rPr>
          <w:rFonts w:hint="eastAsia" w:ascii="Times New Roman" w:hAnsi="Times New Roman" w:eastAsia="宋体"/>
        </w:rPr>
        <w:t>经我校学位委员会批准</w:t>
      </w:r>
      <w:r>
        <w:rPr>
          <w:rFonts w:hint="eastAsia" w:ascii="Times New Roman" w:hAnsi="Times New Roman" w:eastAsia="宋体"/>
          <w:lang w:eastAsia="zh-CN"/>
        </w:rPr>
        <w:t>，</w:t>
      </w:r>
      <w:r>
        <w:rPr>
          <w:rFonts w:hint="eastAsia" w:ascii="Times New Roman" w:hAnsi="Times New Roman" w:eastAsia="宋体"/>
        </w:rPr>
        <w:t>授予国务院学位委员会统一颁发的硕士学位证书。学位论文及答辩阶段一般为1年，四年内未全部通过课程和全国统一考试者，所修课程学分无效。</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注：申请人必须在完成规定学分并通过全国外语水平统考和学科专业综合考试后一年内向学校提出学位论文申请。全国统一组织的外国语水平考试和学科专业综合考试每年3月初报名</w:t>
      </w:r>
      <w:r>
        <w:rPr>
          <w:rFonts w:hint="eastAsia" w:ascii="Times New Roman" w:hAnsi="Times New Roman" w:eastAsia="宋体"/>
          <w:lang w:eastAsia="zh-CN"/>
        </w:rPr>
        <w:t>，</w:t>
      </w:r>
      <w:r>
        <w:rPr>
          <w:rFonts w:hint="eastAsia" w:ascii="Times New Roman" w:hAnsi="Times New Roman" w:eastAsia="宋体"/>
        </w:rPr>
        <w:t>5月下旬考试。外语统考约4级水平。</w:t>
      </w:r>
    </w:p>
    <w:p>
      <w:pPr>
        <w:numPr>
          <w:ilvl w:val="0"/>
          <w:numId w:val="1"/>
        </w:numPr>
        <w:spacing w:before="156" w:beforeLines="50" w:after="156" w:afterLines="50"/>
        <w:outlineLvl w:val="0"/>
        <w:rPr>
          <w:rFonts w:ascii="Times New Roman" w:hAnsi="Times New Roman" w:eastAsia="宋体"/>
          <w:b/>
          <w:bCs/>
          <w:sz w:val="28"/>
          <w:szCs w:val="28"/>
        </w:rPr>
      </w:pPr>
      <w:r>
        <w:rPr>
          <w:rFonts w:hint="eastAsia" w:ascii="Times New Roman" w:hAnsi="Times New Roman" w:eastAsia="宋体"/>
          <w:b/>
          <w:bCs/>
          <w:sz w:val="28"/>
          <w:szCs w:val="28"/>
          <w:lang w:val="en-US" w:eastAsia="zh-CN"/>
        </w:rPr>
        <w:t>缴纳学费</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根据我校下发的《江西财经大学同等学力人员申请硕士学位收入管理办法》的通知（江财财务字【2022】4号）文件精神，从即日起，学费缴纳分两段制进行，即课程学习阶段和撰写学位论文及答辩阶段。课程学习阶段学费为15000元，教材、资料自理。撰写学位论文及答辩阶段学费为1</w:t>
      </w:r>
      <w:r>
        <w:rPr>
          <w:rFonts w:hint="eastAsia" w:ascii="Times New Roman" w:hAnsi="Times New Roman" w:eastAsia="宋体"/>
          <w:lang w:val="en-US" w:eastAsia="zh-CN"/>
        </w:rPr>
        <w:t>0</w:t>
      </w:r>
      <w:r>
        <w:rPr>
          <w:rFonts w:hint="eastAsia" w:ascii="Times New Roman" w:hAnsi="Times New Roman" w:eastAsia="宋体"/>
        </w:rPr>
        <w:t>000元，各项收费实际以学校相关规定为准。学生缴纳相关费用后，可获得学校财务处开具的电子缴费发票。</w:t>
      </w:r>
    </w:p>
    <w:p>
      <w:pPr>
        <w:numPr>
          <w:ilvl w:val="0"/>
          <w:numId w:val="1"/>
        </w:numPr>
        <w:spacing w:before="156" w:beforeLines="50" w:after="156" w:afterLines="50"/>
        <w:outlineLvl w:val="0"/>
        <w:rPr>
          <w:rFonts w:ascii="Times New Roman" w:hAnsi="Times New Roman" w:eastAsia="宋体"/>
          <w:b/>
          <w:bCs/>
          <w:sz w:val="28"/>
          <w:szCs w:val="28"/>
        </w:rPr>
      </w:pPr>
      <w:r>
        <w:rPr>
          <w:rFonts w:hint="eastAsia" w:ascii="Times New Roman" w:hAnsi="Times New Roman" w:eastAsia="宋体"/>
          <w:b/>
          <w:bCs/>
          <w:sz w:val="28"/>
          <w:szCs w:val="28"/>
        </w:rPr>
        <w:t>报名流程</w:t>
      </w:r>
    </w:p>
    <w:p>
      <w:pPr>
        <w:spacing w:line="360" w:lineRule="auto"/>
        <w:ind w:firstLine="420" w:firstLineChars="200"/>
        <w:rPr>
          <w:rFonts w:hint="eastAsia" w:ascii="Times New Roman" w:hAnsi="Times New Roman" w:eastAsia="宋体"/>
          <w:lang w:eastAsia="zh-CN"/>
        </w:rPr>
      </w:pPr>
      <w:r>
        <w:rPr>
          <w:rFonts w:hint="eastAsia" w:ascii="Times New Roman" w:hAnsi="Times New Roman" w:eastAsia="宋体"/>
        </w:rPr>
        <w:t>报名时需提交以下材料</w:t>
      </w:r>
      <w:r>
        <w:rPr>
          <w:rFonts w:hint="eastAsia" w:ascii="Times New Roman" w:hAnsi="Times New Roman" w:eastAsia="宋体"/>
          <w:lang w:eastAsia="zh-CN"/>
        </w:rPr>
        <w:t>：</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(以邮件发送至</w:t>
      </w:r>
      <w:r>
        <w:rPr>
          <w:rFonts w:hint="eastAsia" w:ascii="Times New Roman" w:hAnsi="Times New Roman" w:eastAsia="宋体"/>
          <w:highlight w:val="yellow"/>
          <w:lang w:val="en-US" w:eastAsia="zh-CN"/>
        </w:rPr>
        <w:t>填写邮箱地址</w:t>
      </w:r>
      <w:r>
        <w:rPr>
          <w:rFonts w:hint="eastAsia" w:ascii="Times New Roman" w:hAnsi="Times New Roman" w:eastAsia="宋体"/>
        </w:rPr>
        <w:t>，文件名为：姓名+</w:t>
      </w:r>
      <w:r>
        <w:rPr>
          <w:rFonts w:hint="eastAsia" w:ascii="Times New Roman" w:hAnsi="Times New Roman" w:eastAsia="宋体"/>
          <w:lang w:val="en-US" w:eastAsia="zh-CN"/>
        </w:rPr>
        <w:t>马克思主义</w:t>
      </w:r>
      <w:r>
        <w:rPr>
          <w:rFonts w:hint="eastAsia" w:ascii="Times New Roman" w:hAnsi="Times New Roman" w:eastAsia="宋体"/>
        </w:rPr>
        <w:t>）</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1．本人身份证正、反面电子稿；</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2．本人学历毕业证书和学位证书电子稿；</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3．本人近期免冠蓝底彩照；</w:t>
      </w:r>
    </w:p>
    <w:p>
      <w:pPr>
        <w:spacing w:line="360" w:lineRule="auto"/>
        <w:ind w:firstLine="420" w:firstLineChars="200"/>
        <w:rPr>
          <w:rFonts w:hint="eastAsia" w:ascii="Times New Roman" w:hAnsi="Times New Roman" w:eastAsia="宋体"/>
        </w:rPr>
      </w:pPr>
      <w:r>
        <w:rPr>
          <w:rFonts w:hint="eastAsia" w:ascii="Times New Roman" w:hAnsi="Times New Roman" w:eastAsia="宋体"/>
        </w:rPr>
        <w:t>4．全年可报名。</w:t>
      </w:r>
    </w:p>
    <w:p>
      <w:pPr>
        <w:outlineLvl w:val="0"/>
        <w:rPr>
          <w:rFonts w:ascii="Times New Roman" w:hAnsi="Times New Roman" w:eastAsia="宋体"/>
          <w:szCs w:val="21"/>
        </w:rPr>
      </w:pPr>
      <w:bookmarkStart w:id="0" w:name="_GoBack"/>
      <w:bookmarkEnd w:id="0"/>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4E6F5"/>
    <w:multiLevelType w:val="multilevel"/>
    <w:tmpl w:val="C854E6F5"/>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M3NzQzZWVkNmFmNThmMDQyYWRhYjg2ZDJmNDhiYmEifQ=="/>
  </w:docVars>
  <w:rsids>
    <w:rsidRoot w:val="61553F48"/>
    <w:rsid w:val="0023611B"/>
    <w:rsid w:val="002B0A81"/>
    <w:rsid w:val="006F7079"/>
    <w:rsid w:val="00890E85"/>
    <w:rsid w:val="009C0CE9"/>
    <w:rsid w:val="00B67BE1"/>
    <w:rsid w:val="00BE7961"/>
    <w:rsid w:val="00C53079"/>
    <w:rsid w:val="00F76ED0"/>
    <w:rsid w:val="02732F7A"/>
    <w:rsid w:val="067511A0"/>
    <w:rsid w:val="143E442A"/>
    <w:rsid w:val="22EB0041"/>
    <w:rsid w:val="236E69A3"/>
    <w:rsid w:val="23AA4080"/>
    <w:rsid w:val="241123A7"/>
    <w:rsid w:val="288C10C7"/>
    <w:rsid w:val="2B38285B"/>
    <w:rsid w:val="2CDF4382"/>
    <w:rsid w:val="2FB41114"/>
    <w:rsid w:val="317F1B5D"/>
    <w:rsid w:val="323A55B1"/>
    <w:rsid w:val="3F9A5969"/>
    <w:rsid w:val="448F2564"/>
    <w:rsid w:val="455455A1"/>
    <w:rsid w:val="49855564"/>
    <w:rsid w:val="4C104319"/>
    <w:rsid w:val="4DE44D88"/>
    <w:rsid w:val="50420206"/>
    <w:rsid w:val="545A24A8"/>
    <w:rsid w:val="55A95B7B"/>
    <w:rsid w:val="58470460"/>
    <w:rsid w:val="5A547A6A"/>
    <w:rsid w:val="5BD112A2"/>
    <w:rsid w:val="5F545260"/>
    <w:rsid w:val="61553F48"/>
    <w:rsid w:val="64030466"/>
    <w:rsid w:val="6B480E55"/>
    <w:rsid w:val="6CD1349E"/>
    <w:rsid w:val="709F7BAB"/>
    <w:rsid w:val="71132239"/>
    <w:rsid w:val="77C929D0"/>
    <w:rsid w:val="7AB83901"/>
    <w:rsid w:val="7C312056"/>
    <w:rsid w:val="7C72007E"/>
    <w:rsid w:val="7FF1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outlineLvl w:val="0"/>
    </w:pPr>
    <w:rPr>
      <w:rFonts w:eastAsia="宋体"/>
      <w:kern w:val="44"/>
      <w:sz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FollowedHyperlink"/>
    <w:basedOn w:val="7"/>
    <w:autoRedefine/>
    <w:qFormat/>
    <w:uiPriority w:val="0"/>
    <w:rPr>
      <w:rFonts w:hint="eastAsia" w:ascii="微软雅黑" w:hAnsi="微软雅黑" w:eastAsia="微软雅黑" w:cs="微软雅黑"/>
      <w:color w:val="3B3B3B"/>
      <w:u w:val="none"/>
    </w:rPr>
  </w:style>
  <w:style w:type="character" w:styleId="10">
    <w:name w:val="Emphasis"/>
    <w:basedOn w:val="7"/>
    <w:autoRedefine/>
    <w:qFormat/>
    <w:uiPriority w:val="0"/>
    <w:rPr>
      <w:b/>
    </w:rPr>
  </w:style>
  <w:style w:type="character" w:styleId="11">
    <w:name w:val="HTML Definition"/>
    <w:basedOn w:val="7"/>
    <w:autoRedefine/>
    <w:qFormat/>
    <w:uiPriority w:val="0"/>
    <w:rPr>
      <w:color w:val="095AB5"/>
      <w:u w:val="none"/>
    </w:rPr>
  </w:style>
  <w:style w:type="character" w:styleId="12">
    <w:name w:val="HTML Variable"/>
    <w:basedOn w:val="7"/>
    <w:autoRedefine/>
    <w:qFormat/>
    <w:uiPriority w:val="0"/>
  </w:style>
  <w:style w:type="character" w:styleId="13">
    <w:name w:val="Hyperlink"/>
    <w:basedOn w:val="7"/>
    <w:autoRedefine/>
    <w:qFormat/>
    <w:uiPriority w:val="0"/>
    <w:rPr>
      <w:rFonts w:ascii="微软雅黑" w:hAnsi="微软雅黑" w:eastAsia="微软雅黑" w:cs="微软雅黑"/>
      <w:color w:val="3B3B3B"/>
      <w:u w:val="none"/>
    </w:rPr>
  </w:style>
  <w:style w:type="character" w:styleId="14">
    <w:name w:val="HTML Code"/>
    <w:basedOn w:val="7"/>
    <w:qFormat/>
    <w:uiPriority w:val="0"/>
    <w:rPr>
      <w:rFonts w:ascii="Courier New" w:hAnsi="Courier New"/>
      <w:sz w:val="20"/>
    </w:rPr>
  </w:style>
  <w:style w:type="character" w:styleId="15">
    <w:name w:val="HTML Cite"/>
    <w:basedOn w:val="7"/>
    <w:autoRedefine/>
    <w:qFormat/>
    <w:uiPriority w:val="0"/>
  </w:style>
  <w:style w:type="character" w:styleId="16">
    <w:name w:val="HTML Keyboard"/>
    <w:basedOn w:val="7"/>
    <w:autoRedefine/>
    <w:qFormat/>
    <w:uiPriority w:val="0"/>
    <w:rPr>
      <w:rFonts w:ascii="Courier New" w:hAnsi="Courier New"/>
      <w:sz w:val="20"/>
    </w:rPr>
  </w:style>
  <w:style w:type="character" w:styleId="17">
    <w:name w:val="HTML Sample"/>
    <w:basedOn w:val="7"/>
    <w:autoRedefine/>
    <w:qFormat/>
    <w:uiPriority w:val="0"/>
    <w:rPr>
      <w:rFonts w:ascii="Courier New" w:hAnsi="Courier New"/>
    </w:rPr>
  </w:style>
  <w:style w:type="character" w:customStyle="1" w:styleId="18">
    <w:name w:val="addre"/>
    <w:basedOn w:val="7"/>
    <w:qFormat/>
    <w:uiPriority w:val="0"/>
  </w:style>
  <w:style w:type="character" w:customStyle="1" w:styleId="19">
    <w:name w:val="item-name"/>
    <w:basedOn w:val="7"/>
    <w:autoRedefine/>
    <w:qFormat/>
    <w:uiPriority w:val="0"/>
  </w:style>
  <w:style w:type="character" w:customStyle="1" w:styleId="20">
    <w:name w:val="item-name1"/>
    <w:basedOn w:val="7"/>
    <w:autoRedefine/>
    <w:qFormat/>
    <w:uiPriority w:val="0"/>
  </w:style>
  <w:style w:type="character" w:customStyle="1" w:styleId="21">
    <w:name w:val="pubdate-month"/>
    <w:basedOn w:val="7"/>
    <w:autoRedefine/>
    <w:qFormat/>
    <w:uiPriority w:val="0"/>
    <w:rPr>
      <w:color w:val="FFFFFF"/>
      <w:sz w:val="19"/>
      <w:szCs w:val="19"/>
      <w:shd w:val="clear" w:color="auto" w:fill="CC0000"/>
    </w:rPr>
  </w:style>
  <w:style w:type="character" w:customStyle="1" w:styleId="22">
    <w:name w:val="pubdate-day"/>
    <w:basedOn w:val="7"/>
    <w:qFormat/>
    <w:uiPriority w:val="0"/>
    <w:rPr>
      <w:shd w:val="clear" w:color="auto" w:fill="F2F2F2"/>
    </w:rPr>
  </w:style>
  <w:style w:type="character" w:customStyle="1" w:styleId="23">
    <w:name w:val="column-name18"/>
    <w:basedOn w:val="7"/>
    <w:autoRedefine/>
    <w:qFormat/>
    <w:uiPriority w:val="0"/>
    <w:rPr>
      <w:color w:val="3E3E3E"/>
      <w:shd w:val="clear" w:color="auto" w:fill="FFFFFF"/>
    </w:rPr>
  </w:style>
  <w:style w:type="character" w:customStyle="1" w:styleId="24">
    <w:name w:val="news_title"/>
    <w:basedOn w:val="7"/>
    <w:autoRedefine/>
    <w:qFormat/>
    <w:uiPriority w:val="0"/>
  </w:style>
  <w:style w:type="character" w:customStyle="1" w:styleId="25">
    <w:name w:val="news_title1"/>
    <w:basedOn w:val="7"/>
    <w:autoRedefine/>
    <w:qFormat/>
    <w:uiPriority w:val="0"/>
  </w:style>
  <w:style w:type="character" w:customStyle="1" w:styleId="26">
    <w:name w:val="news_meta2"/>
    <w:basedOn w:val="7"/>
    <w:autoRedefine/>
    <w:qFormat/>
    <w:uiPriority w:val="0"/>
    <w:rPr>
      <w:color w:val="9C9C9C"/>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2862</Words>
  <Characters>2921</Characters>
  <Lines>20</Lines>
  <Paragraphs>5</Paragraphs>
  <TotalTime>1</TotalTime>
  <ScaleCrop>false</ScaleCrop>
  <LinksUpToDate>false</LinksUpToDate>
  <CharactersWithSpaces>2922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2023-12-10T02:21:00Z</dcterms:created>
  <dc:creator>竹林萱草</dc:creator>
  <cp:lastModifiedBy>人事尹老师</cp:lastModifiedBy>
  <dcterms:modified xsi:type="dcterms:W3CDTF">2024-08-05T03:37:34Z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9B00592D621E49D1BFEDEB837B180120_13</vt:lpwstr>
  </property>
</Properties>
</file>