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center"/>
        <w:rPr>
          <w:rFonts w:hint="default" w:ascii="仿宋" w:hAnsi="仿宋" w:eastAsia="仿宋" w:cs="仿宋"/>
          <w:b/>
          <w:bCs/>
          <w:color w:val="000000"/>
          <w:sz w:val="28"/>
          <w:szCs w:val="28"/>
          <w:lang w:val="en-US" w:eastAsia="zh-CN"/>
        </w:rPr>
      </w:pPr>
      <w:r>
        <w:rPr>
          <w:rFonts w:hint="eastAsia" w:ascii="仿宋" w:hAnsi="仿宋" w:eastAsia="仿宋" w:cs="仿宋"/>
          <w:b/>
          <w:bCs/>
          <w:color w:val="000000"/>
          <w:sz w:val="28"/>
          <w:szCs w:val="28"/>
          <w:lang w:val="en-US" w:eastAsia="zh-CN"/>
        </w:rPr>
        <w:t>江西财经大学会计学专业同等学力招生简章</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rPr>
          <w:rFonts w:hint="eastAsia" w:ascii="仿宋" w:hAnsi="仿宋" w:eastAsia="仿宋" w:cs="仿宋"/>
          <w:color w:val="000000"/>
          <w:sz w:val="21"/>
          <w:szCs w:val="21"/>
        </w:rPr>
      </w:pPr>
    </w:p>
    <w:p>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240" w:lineRule="auto"/>
        <w:ind w:right="0" w:firstLine="480" w:firstLineChars="200"/>
        <w:textAlignment w:val="auto"/>
        <w:rPr>
          <w:rFonts w:hint="eastAsia" w:ascii="仿宋" w:hAnsi="仿宋" w:eastAsia="仿宋" w:cs="仿宋"/>
        </w:rPr>
      </w:pPr>
      <w:r>
        <w:rPr>
          <w:rFonts w:hint="eastAsia" w:ascii="仿宋" w:hAnsi="仿宋" w:eastAsia="仿宋" w:cs="仿宋"/>
        </w:rPr>
        <w:t>江西财经大学是一所财政部、教育部、江西省人民政府共建，以经济、管理类学科为主，法、工、文、理、艺术等学科协调发展的高等财经学府。</w:t>
      </w:r>
      <w:r>
        <w:rPr>
          <w:rFonts w:hint="default" w:ascii="仿宋" w:hAnsi="仿宋" w:eastAsia="仿宋" w:cs="仿宋"/>
        </w:rPr>
        <w:t>学校现有经济学、管理学、法学、工学、文学、理学、艺术等学科门类；拥有应用经济学、理论经济学、管理科学与工程、工商管理、统计学、法学、马克思主义理论共7个一级博士学位授权点，39个二级博士学位授权点。在全国第四轮学科评估中，学校工商管理获评B+等级（全国前20%）；应用经济学、管理科学与工程、统计学、工商管理入选“江西省一流建设学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rPr>
          <w:rFonts w:hint="eastAsia" w:ascii="仿宋" w:hAnsi="仿宋" w:eastAsia="仿宋" w:cs="仿宋"/>
        </w:rPr>
      </w:pPr>
      <w:r>
        <w:rPr>
          <w:rFonts w:hint="eastAsia" w:ascii="仿宋" w:hAnsi="仿宋" w:eastAsia="仿宋" w:cs="仿宋"/>
        </w:rPr>
        <w:t>会计学院师资力量雄厚，拥有一支结构合理、教学与科研水平较高的师资队伍。学院现有教专任教师99人，教授31人、副</w:t>
      </w:r>
      <w:bookmarkStart w:id="0" w:name="_GoBack"/>
      <w:bookmarkEnd w:id="0"/>
      <w:r>
        <w:rPr>
          <w:rFonts w:hint="eastAsia" w:ascii="仿宋" w:hAnsi="仿宋" w:eastAsia="仿宋" w:cs="仿宋"/>
        </w:rPr>
        <w:t>教授23人，博士生导师11人、硕士生导师74人，具有博士学位教师占专任教师队伍70%以上。教师中有国家级教学名师1人，国务院政府津贴享有者4人，全国会计专业学位研究生教育指导委员会委员1人，财政部会计名家工程人选1人，财政部管理会计咨询专家1人，财政部全国会计领军人才（学术类）3人，江西省“赣鄱英才555人才”3人、江西省高校中青年学科带头人7人、江西省高校教学名师4人；江西省百千万第一、二层次人才3人，江西省青年井冈学者1人。</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rPr>
          <w:rFonts w:hint="eastAsia" w:ascii="仿宋" w:hAnsi="仿宋" w:eastAsia="仿宋" w:cs="仿宋"/>
        </w:rPr>
      </w:pPr>
      <w:r>
        <w:rPr>
          <w:rFonts w:hint="eastAsia" w:ascii="仿宋" w:hAnsi="仿宋" w:eastAsia="仿宋" w:cs="仿宋"/>
        </w:rPr>
        <w:t>近年来，会计学院的综合实力和社会影响不断扩大，学科排名不断晋位前移，《中国科学评价中心》排名9位。在教育部第四轮学科评估中工商管理一级学科评为B+等次，2018年MPAcc专业学位教育获得AAPEQ质量认证A级成员单位，现将有关招生事项公告如下：</w:t>
      </w:r>
    </w:p>
    <w:p>
      <w:pPr>
        <w:keepNext w:val="0"/>
        <w:keepLines w:val="0"/>
        <w:widowControl/>
        <w:suppressLineNumbers w:val="0"/>
        <w:spacing w:line="240" w:lineRule="auto"/>
        <w:jc w:val="left"/>
        <w:rPr>
          <w:rFonts w:hint="eastAsia" w:ascii="仿宋" w:hAnsi="仿宋" w:eastAsia="仿宋" w:cs="仿宋"/>
        </w:rPr>
      </w:pPr>
      <w:r>
        <w:rPr>
          <w:rFonts w:hint="eastAsia" w:ascii="仿宋" w:hAnsi="仿宋" w:eastAsia="仿宋" w:cs="仿宋"/>
          <w:kern w:val="0"/>
          <w:sz w:val="24"/>
          <w:szCs w:val="24"/>
          <w:lang w:val="en-US" w:eastAsia="zh-CN" w:bidi="ar"/>
        </w:rPr>
        <w:br w:type="textWrapping"/>
      </w:r>
      <w:r>
        <w:rPr>
          <w:rStyle w:val="6"/>
          <w:rFonts w:hint="eastAsia" w:ascii="仿宋" w:hAnsi="仿宋" w:eastAsia="仿宋" w:cs="仿宋"/>
          <w:kern w:val="0"/>
          <w:sz w:val="24"/>
          <w:szCs w:val="24"/>
          <w:lang w:val="en-US" w:eastAsia="zh-CN" w:bidi="ar"/>
        </w:rPr>
        <w:t>01招生专业：</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rPr>
          <w:rFonts w:hint="eastAsia" w:ascii="仿宋" w:hAnsi="仿宋" w:eastAsia="仿宋" w:cs="仿宋"/>
        </w:rPr>
      </w:pPr>
      <w:r>
        <w:rPr>
          <w:rFonts w:hint="eastAsia" w:ascii="仿宋" w:hAnsi="仿宋" w:eastAsia="仿宋" w:cs="仿宋"/>
        </w:rPr>
        <w:t>会计学</w:t>
      </w:r>
    </w:p>
    <w:p>
      <w:pPr>
        <w:keepNext w:val="0"/>
        <w:keepLines w:val="0"/>
        <w:widowControl/>
        <w:suppressLineNumbers w:val="0"/>
        <w:spacing w:line="240" w:lineRule="auto"/>
        <w:jc w:val="left"/>
        <w:rPr>
          <w:rFonts w:hint="eastAsia" w:ascii="仿宋" w:hAnsi="仿宋" w:eastAsia="仿宋" w:cs="仿宋"/>
        </w:rPr>
      </w:pPr>
      <w:r>
        <w:rPr>
          <w:rStyle w:val="6"/>
          <w:rFonts w:hint="eastAsia" w:ascii="仿宋" w:hAnsi="仿宋" w:eastAsia="仿宋" w:cs="仿宋"/>
          <w:kern w:val="0"/>
          <w:sz w:val="24"/>
          <w:szCs w:val="24"/>
          <w:lang w:val="en-US" w:eastAsia="zh-CN" w:bidi="ar"/>
        </w:rPr>
        <w:t>02培养方向：</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rPr>
          <w:rFonts w:hint="eastAsia" w:ascii="仿宋" w:hAnsi="仿宋" w:eastAsia="仿宋" w:cs="仿宋"/>
        </w:rPr>
      </w:pPr>
      <w:r>
        <w:rPr>
          <w:rFonts w:hint="eastAsia" w:ascii="仿宋" w:hAnsi="仿宋" w:eastAsia="仿宋" w:cs="仿宋"/>
          <w:spacing w:val="8"/>
          <w:sz w:val="21"/>
          <w:szCs w:val="21"/>
        </w:rPr>
        <w:t>会计理论与实务（方法）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rPr>
          <w:rFonts w:hint="eastAsia" w:ascii="仿宋" w:hAnsi="仿宋" w:eastAsia="仿宋" w:cs="仿宋"/>
        </w:rPr>
      </w:pPr>
      <w:r>
        <w:rPr>
          <w:rFonts w:hint="eastAsia" w:ascii="仿宋" w:hAnsi="仿宋" w:eastAsia="仿宋" w:cs="仿宋"/>
          <w:spacing w:val="8"/>
          <w:sz w:val="21"/>
          <w:szCs w:val="21"/>
        </w:rPr>
        <w:t>审计理论与实务（方法）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rPr>
          <w:rFonts w:hint="eastAsia" w:ascii="仿宋" w:hAnsi="仿宋" w:eastAsia="仿宋" w:cs="仿宋"/>
        </w:rPr>
      </w:pPr>
      <w:r>
        <w:rPr>
          <w:rFonts w:hint="eastAsia" w:ascii="仿宋" w:hAnsi="仿宋" w:eastAsia="仿宋" w:cs="仿宋"/>
          <w:spacing w:val="8"/>
          <w:sz w:val="21"/>
          <w:szCs w:val="21"/>
        </w:rPr>
        <w:t>财务管理及管理会计理论与实务（方法）等研究方向；</w:t>
      </w:r>
    </w:p>
    <w:p>
      <w:pPr>
        <w:keepNext w:val="0"/>
        <w:keepLines w:val="0"/>
        <w:widowControl/>
        <w:suppressLineNumbers w:val="0"/>
        <w:spacing w:line="240" w:lineRule="auto"/>
        <w:jc w:val="left"/>
        <w:rPr>
          <w:rFonts w:hint="eastAsia" w:ascii="仿宋" w:hAnsi="仿宋" w:eastAsia="仿宋" w:cs="仿宋"/>
        </w:rPr>
      </w:pPr>
      <w:r>
        <w:rPr>
          <w:rStyle w:val="6"/>
          <w:rFonts w:hint="eastAsia" w:ascii="仿宋" w:hAnsi="仿宋" w:eastAsia="仿宋" w:cs="仿宋"/>
          <w:kern w:val="0"/>
          <w:sz w:val="24"/>
          <w:szCs w:val="24"/>
          <w:lang w:val="en-US" w:eastAsia="zh-CN" w:bidi="ar"/>
        </w:rPr>
        <w:t>03申请条件：</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rFonts w:hint="eastAsia" w:ascii="仿宋" w:hAnsi="仿宋" w:eastAsia="仿宋" w:cs="仿宋"/>
        </w:rPr>
      </w:pPr>
      <w:r>
        <w:rPr>
          <w:rFonts w:hint="eastAsia" w:ascii="仿宋" w:hAnsi="仿宋" w:eastAsia="仿宋" w:cs="仿宋"/>
          <w:spacing w:val="8"/>
          <w:sz w:val="21"/>
          <w:szCs w:val="21"/>
        </w:rPr>
        <w:t>1.拥护《中华人民共和国宪法》，遵守法律、法规，品行端正。</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rFonts w:hint="eastAsia" w:ascii="仿宋" w:hAnsi="仿宋" w:eastAsia="仿宋" w:cs="仿宋"/>
        </w:rPr>
      </w:pPr>
      <w:r>
        <w:rPr>
          <w:rFonts w:hint="eastAsia" w:ascii="仿宋" w:hAnsi="仿宋" w:eastAsia="仿宋" w:cs="仿宋"/>
          <w:sz w:val="21"/>
          <w:szCs w:val="21"/>
        </w:rPr>
        <w:t>2.具有大学本科学历，获得学士学位，并获得学士学位三年以上（含三年），或虽无本科学士学位但已获得硕士或博士学位者。对已获得的学士、硕士或博士学位为国（境）外学位的，其所获的国（境）外学位需经教育部留学服务中心认证。</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rFonts w:hint="eastAsia" w:ascii="仿宋" w:hAnsi="仿宋" w:eastAsia="仿宋" w:cs="仿宋"/>
        </w:rPr>
      </w:pPr>
      <w:r>
        <w:rPr>
          <w:rFonts w:hint="eastAsia" w:ascii="仿宋" w:hAnsi="仿宋" w:eastAsia="仿宋" w:cs="仿宋"/>
          <w:sz w:val="21"/>
          <w:szCs w:val="21"/>
        </w:rPr>
        <w:t>3.学士学位未满三年者可以先入学参加课程学习，待满三年后可参加报名参加外语水平全国统一考试。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rFonts w:hint="eastAsia" w:ascii="仿宋" w:hAnsi="仿宋" w:eastAsia="仿宋" w:cs="仿宋"/>
        </w:rPr>
      </w:pPr>
      <w:r>
        <w:rPr>
          <w:rFonts w:hint="eastAsia" w:ascii="仿宋" w:hAnsi="仿宋" w:eastAsia="仿宋" w:cs="仿宋"/>
          <w:sz w:val="21"/>
          <w:szCs w:val="21"/>
        </w:rPr>
        <w:t>4.具有大学本科学历，但无学士学位或大专学历者可参加课程学习，课程考试合格可获得江西财经大学研究生课程结业证书，但不能申请学位。</w:t>
      </w:r>
    </w:p>
    <w:p>
      <w:pPr>
        <w:keepNext w:val="0"/>
        <w:keepLines w:val="0"/>
        <w:widowControl/>
        <w:suppressLineNumbers w:val="0"/>
        <w:spacing w:line="240" w:lineRule="auto"/>
        <w:jc w:val="left"/>
        <w:rPr>
          <w:rFonts w:hint="eastAsia" w:ascii="仿宋" w:hAnsi="仿宋" w:eastAsia="仿宋" w:cs="仿宋"/>
        </w:rPr>
      </w:pPr>
      <w:r>
        <w:rPr>
          <w:rStyle w:val="6"/>
          <w:rFonts w:hint="eastAsia" w:ascii="仿宋" w:hAnsi="仿宋" w:eastAsia="仿宋" w:cs="仿宋"/>
          <w:kern w:val="0"/>
          <w:sz w:val="24"/>
          <w:szCs w:val="24"/>
          <w:lang w:val="en-US" w:eastAsia="zh-CN" w:bidi="ar"/>
        </w:rPr>
        <w:t>04课程学习阶段和学位论文阶段相关要求：</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rFonts w:hint="eastAsia" w:ascii="仿宋" w:hAnsi="仿宋" w:eastAsia="仿宋" w:cs="仿宋"/>
        </w:rPr>
      </w:pPr>
      <w:r>
        <w:rPr>
          <w:rFonts w:hint="eastAsia" w:ascii="仿宋" w:hAnsi="仿宋" w:eastAsia="仿宋" w:cs="仿宋"/>
          <w:sz w:val="21"/>
          <w:szCs w:val="21"/>
        </w:rPr>
        <w:t>同等学力学习分为三个阶段：课程学习培养阶段（简称第一阶段）、外语水平考试阶段（简称第二阶段）和撰写学位论文及答辩阶段（简称第三阶段）。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rFonts w:hint="eastAsia" w:ascii="仿宋" w:hAnsi="仿宋" w:eastAsia="仿宋" w:cs="仿宋"/>
        </w:rPr>
      </w:pPr>
      <w:r>
        <w:rPr>
          <w:rFonts w:hint="eastAsia" w:ascii="仿宋" w:hAnsi="仿宋" w:eastAsia="仿宋" w:cs="仿宋"/>
          <w:sz w:val="21"/>
          <w:szCs w:val="21"/>
        </w:rPr>
        <w:t>1.第一阶段（课程学习）：申请人自通过资格审查之日起，按学院教学进度安排，修完规定的全部课程，按要求参加考试，成绩合格，可获得课程结业证书（为同等学力教育）。课程学习期一般为1年，每月集中双休日授课。</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rFonts w:hint="eastAsia" w:ascii="仿宋" w:hAnsi="仿宋" w:eastAsia="仿宋" w:cs="仿宋"/>
        </w:rPr>
      </w:pPr>
      <w:r>
        <w:rPr>
          <w:rFonts w:hint="eastAsia" w:ascii="仿宋" w:hAnsi="仿宋" w:eastAsia="仿宋" w:cs="仿宋"/>
          <w:sz w:val="21"/>
          <w:szCs w:val="21"/>
        </w:rPr>
        <w:t>2.第二阶段（外语水平考试）：获得学士学位满3年并修满学院规定课程的学分者，可报名参加同等学力人员申请学位外语水平全国统一考试（每年一次）。</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rFonts w:hint="eastAsia" w:ascii="仿宋" w:hAnsi="仿宋" w:eastAsia="仿宋" w:cs="仿宋"/>
        </w:rPr>
      </w:pPr>
      <w:r>
        <w:rPr>
          <w:rFonts w:hint="eastAsia" w:ascii="仿宋" w:hAnsi="仿宋" w:eastAsia="仿宋" w:cs="仿宋"/>
          <w:sz w:val="21"/>
          <w:szCs w:val="21"/>
        </w:rPr>
        <w:t>3.第三阶段（论文写作、答辩）:全国统一组织的外国语水平考试成绩合格者，方可进入学位论文写作阶段。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rFonts w:hint="eastAsia" w:ascii="仿宋" w:hAnsi="仿宋" w:eastAsia="仿宋" w:cs="仿宋"/>
        </w:rPr>
      </w:pPr>
      <w:r>
        <w:rPr>
          <w:rFonts w:hint="eastAsia" w:ascii="仿宋" w:hAnsi="仿宋" w:eastAsia="仿宋" w:cs="仿宋"/>
          <w:sz w:val="21"/>
          <w:szCs w:val="21"/>
        </w:rPr>
        <w:t>论文通过评审、答辩，经我校学位评定委员会批准，授予江西财经大学理学学位并颁发学位证书。学位论文及答辩阶段一般为1年。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rFonts w:hint="eastAsia" w:ascii="仿宋" w:hAnsi="仿宋" w:eastAsia="仿宋" w:cs="仿宋"/>
        </w:rPr>
      </w:pPr>
      <w:r>
        <w:rPr>
          <w:rFonts w:hint="eastAsia" w:ascii="仿宋" w:hAnsi="仿宋" w:eastAsia="仿宋" w:cs="仿宋"/>
          <w:sz w:val="21"/>
          <w:szCs w:val="21"/>
        </w:rPr>
        <w:t>四年内未全部通过课程和全国统一组织的外国语水平考试者，所修课程学分失效。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rFonts w:hint="eastAsia" w:ascii="仿宋" w:hAnsi="仿宋" w:eastAsia="仿宋" w:cs="仿宋"/>
        </w:rPr>
      </w:pPr>
      <w:r>
        <w:rPr>
          <w:rFonts w:hint="eastAsia" w:ascii="仿宋" w:hAnsi="仿宋" w:eastAsia="仿宋" w:cs="仿宋"/>
          <w:sz w:val="21"/>
          <w:szCs w:val="21"/>
        </w:rPr>
        <w:t>注：申请人必须在完成规定学分并通过全国外语水平统考后一年内向学校提出学位论文申请。外语统考与国家英语4-5级水平相当。</w:t>
      </w:r>
    </w:p>
    <w:p>
      <w:pPr>
        <w:keepNext w:val="0"/>
        <w:keepLines w:val="0"/>
        <w:widowControl/>
        <w:suppressLineNumbers w:val="0"/>
        <w:spacing w:line="240" w:lineRule="auto"/>
        <w:jc w:val="left"/>
        <w:rPr>
          <w:rFonts w:hint="eastAsia" w:ascii="仿宋" w:hAnsi="仿宋" w:eastAsia="仿宋" w:cs="仿宋"/>
        </w:rPr>
      </w:pPr>
      <w:r>
        <w:rPr>
          <w:rFonts w:hint="eastAsia" w:ascii="仿宋" w:hAnsi="仿宋" w:eastAsia="仿宋" w:cs="仿宋"/>
          <w:kern w:val="0"/>
          <w:sz w:val="24"/>
          <w:szCs w:val="24"/>
          <w:lang w:val="en-US" w:eastAsia="zh-CN" w:bidi="ar"/>
        </w:rPr>
        <w:br w:type="textWrapping"/>
      </w:r>
      <w:r>
        <w:rPr>
          <w:rStyle w:val="6"/>
          <w:rFonts w:hint="eastAsia" w:ascii="仿宋" w:hAnsi="仿宋" w:eastAsia="仿宋" w:cs="仿宋"/>
          <w:kern w:val="0"/>
          <w:sz w:val="24"/>
          <w:szCs w:val="24"/>
          <w:lang w:val="en-US" w:eastAsia="zh-CN" w:bidi="ar"/>
        </w:rPr>
        <w:t>05学费：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rFonts w:hint="eastAsia" w:ascii="仿宋" w:hAnsi="仿宋" w:eastAsia="仿宋" w:cs="仿宋"/>
        </w:rPr>
      </w:pPr>
      <w:r>
        <w:rPr>
          <w:rFonts w:hint="eastAsia" w:ascii="仿宋" w:hAnsi="仿宋" w:eastAsia="仿宋" w:cs="仿宋"/>
          <w:spacing w:val="8"/>
          <w:sz w:val="21"/>
          <w:szCs w:val="21"/>
        </w:rPr>
        <w:t>学费缴纳分两段制进行，即课程学习阶段和撰写学位论文及答辩阶段。</w:t>
      </w:r>
      <w:r>
        <w:rPr>
          <w:rStyle w:val="6"/>
          <w:rFonts w:hint="eastAsia" w:ascii="仿宋" w:hAnsi="仿宋" w:eastAsia="仿宋" w:cs="仿宋"/>
          <w:sz w:val="21"/>
          <w:szCs w:val="21"/>
        </w:rPr>
        <w:t>课程学习阶段学费为25000元，撰写学位论文及答辩阶段学费为8000元</w:t>
      </w:r>
      <w:r>
        <w:rPr>
          <w:rFonts w:hint="eastAsia" w:ascii="仿宋" w:hAnsi="仿宋" w:eastAsia="仿宋" w:cs="仿宋"/>
          <w:spacing w:val="8"/>
          <w:sz w:val="21"/>
          <w:szCs w:val="21"/>
        </w:rPr>
        <w:t>，各项收费实际以学校相关规定为准。学生缴纳相关费用后，可获得学校财务处开具的电子缴费发票。</w:t>
      </w:r>
    </w:p>
    <w:p>
      <w:pPr>
        <w:keepNext w:val="0"/>
        <w:keepLines w:val="0"/>
        <w:widowControl/>
        <w:suppressLineNumbers w:val="0"/>
        <w:spacing w:line="240" w:lineRule="auto"/>
        <w:jc w:val="left"/>
        <w:rPr>
          <w:rFonts w:hint="eastAsia" w:ascii="仿宋" w:hAnsi="仿宋" w:eastAsia="仿宋" w:cs="仿宋"/>
          <w:spacing w:val="8"/>
        </w:rPr>
      </w:pPr>
      <w:r>
        <w:rPr>
          <w:rFonts w:hint="eastAsia" w:ascii="仿宋" w:hAnsi="仿宋" w:eastAsia="仿宋" w:cs="仿宋"/>
          <w:kern w:val="0"/>
          <w:sz w:val="24"/>
          <w:szCs w:val="24"/>
          <w:lang w:val="en-US" w:eastAsia="zh-CN" w:bidi="ar"/>
        </w:rPr>
        <w:br w:type="textWrapping"/>
      </w:r>
      <w:r>
        <w:rPr>
          <w:rStyle w:val="6"/>
          <w:rFonts w:hint="eastAsia" w:ascii="仿宋" w:hAnsi="仿宋" w:eastAsia="仿宋" w:cs="仿宋"/>
          <w:kern w:val="0"/>
          <w:sz w:val="24"/>
          <w:szCs w:val="24"/>
          <w:lang w:val="en-US" w:eastAsia="zh-CN" w:bidi="ar"/>
        </w:rPr>
        <w:t>06课程设置：</w:t>
      </w:r>
    </w:p>
    <w:p>
      <w:pPr>
        <w:keepNext w:val="0"/>
        <w:keepLines w:val="0"/>
        <w:widowControl/>
        <w:suppressLineNumbers w:val="0"/>
        <w:spacing w:line="240" w:lineRule="auto"/>
        <w:jc w:val="left"/>
        <w:rPr>
          <w:rFonts w:hint="eastAsia" w:ascii="仿宋" w:hAnsi="仿宋" w:eastAsia="仿宋" w:cs="仿宋"/>
        </w:rPr>
      </w:pPr>
      <w:r>
        <w:rPr>
          <w:rFonts w:hint="eastAsia" w:ascii="仿宋" w:hAnsi="仿宋" w:eastAsia="仿宋" w:cs="仿宋"/>
          <w:spacing w:val="8"/>
          <w:kern w:val="0"/>
          <w:sz w:val="24"/>
          <w:szCs w:val="24"/>
          <w:lang w:val="en-US" w:eastAsia="zh-CN" w:bidi="ar"/>
        </w:rPr>
        <w:t>同等学力人员申请硕士学位分为三个阶段：课程学习培养为第一阶段、全国统一考试为第二阶段和撰写学位论文及答辩为第三阶段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rPr>
          <w:rFonts w:hint="eastAsia" w:ascii="仿宋" w:hAnsi="仿宋" w:eastAsia="仿宋" w:cs="仿宋"/>
        </w:rPr>
      </w:pPr>
      <w:r>
        <w:rPr>
          <w:rFonts w:hint="eastAsia" w:ascii="仿宋" w:hAnsi="仿宋" w:eastAsia="仿宋" w:cs="仿宋"/>
          <w:spacing w:val="8"/>
          <w:sz w:val="21"/>
          <w:szCs w:val="21"/>
        </w:rPr>
        <w:t>1、课程学习（第一阶段）：申请人自通过资格审查之日起，按学校教学进度安排，修完江西财经大学同等学力规定的全部课程，按要求参加课程考试且成绩合格，可获待江西财经大学硏究生课程结业证书，课程学习期一般为1.5—-2年。</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rPr>
          <w:rFonts w:hint="eastAsia" w:ascii="仿宋" w:hAnsi="仿宋" w:eastAsia="仿宋" w:cs="仿宋"/>
        </w:rPr>
      </w:pPr>
      <w:r>
        <w:rPr>
          <w:rFonts w:hint="eastAsia" w:ascii="仿宋" w:hAnsi="仿宋" w:eastAsia="仿宋" w:cs="仿宋"/>
          <w:spacing w:val="8"/>
          <w:sz w:val="21"/>
          <w:szCs w:val="21"/>
        </w:rPr>
        <w:t>2、全国统一考试（第二阶段）：获得学士学位满3年并修满学校规定的学分者，申请同等学力人员申请硕士学位外国语水平全国统一考试和学科专业综合考试。</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rPr>
          <w:rFonts w:hint="eastAsia" w:ascii="仿宋" w:hAnsi="仿宋" w:eastAsia="仿宋" w:cs="仿宋"/>
        </w:rPr>
      </w:pPr>
      <w:r>
        <w:rPr>
          <w:rFonts w:hint="eastAsia" w:ascii="仿宋" w:hAnsi="仿宋" w:eastAsia="仿宋" w:cs="仿宋"/>
          <w:spacing w:val="8"/>
          <w:sz w:val="21"/>
          <w:szCs w:val="21"/>
        </w:rPr>
        <w:t>3、论文写作答辩（第三阶段）：全国统一组织的外国语水平考试及学科专业综合考试成绩合格者，并完成规定课程学习者方可进入硕士学位论文写作阶段。</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rPr>
          <w:rFonts w:hint="eastAsia" w:ascii="仿宋" w:hAnsi="仿宋" w:eastAsia="仿宋" w:cs="仿宋"/>
        </w:rPr>
      </w:pPr>
      <w:r>
        <w:rPr>
          <w:rFonts w:hint="eastAsia" w:ascii="仿宋" w:hAnsi="仿宋" w:eastAsia="仿宋" w:cs="仿宋"/>
          <w:spacing w:val="8"/>
          <w:sz w:val="21"/>
          <w:szCs w:val="21"/>
        </w:rPr>
        <w:t>论文通过评审及答辩经我校学位委员会批准，授予国务院学位委员会统一颁发的硕士学位证书。学位论文及答辩阶段一般为1年，四年内未全部通过课程和全国统一考试者，所修课程学分无效。</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rPr>
          <w:rFonts w:hint="eastAsia" w:ascii="仿宋" w:hAnsi="仿宋" w:eastAsia="仿宋" w:cs="仿宋"/>
        </w:rPr>
      </w:pPr>
    </w:p>
    <w:tbl>
      <w:tblPr>
        <w:tblStyle w:val="4"/>
        <w:tblW w:w="7611"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autofit"/>
        <w:tblCellMar>
          <w:top w:w="0" w:type="dxa"/>
          <w:left w:w="0" w:type="dxa"/>
          <w:bottom w:w="0" w:type="dxa"/>
          <w:right w:w="0" w:type="dxa"/>
        </w:tblCellMar>
      </w:tblPr>
      <w:tblGrid>
        <w:gridCol w:w="966"/>
        <w:gridCol w:w="4095"/>
        <w:gridCol w:w="255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trPr>
        <w:tc>
          <w:tcPr>
            <w:tcW w:w="966"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序号</w:t>
            </w:r>
          </w:p>
        </w:tc>
        <w:tc>
          <w:tcPr>
            <w:tcW w:w="4095"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课程</w:t>
            </w:r>
          </w:p>
        </w:tc>
        <w:tc>
          <w:tcPr>
            <w:tcW w:w="2550"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课时</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trPr>
        <w:tc>
          <w:tcPr>
            <w:tcW w:w="966"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1</w:t>
            </w:r>
          </w:p>
        </w:tc>
        <w:tc>
          <w:tcPr>
            <w:tcW w:w="4095"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英语（统考）</w:t>
            </w:r>
          </w:p>
        </w:tc>
        <w:tc>
          <w:tcPr>
            <w:tcW w:w="2550"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trPr>
        <w:tc>
          <w:tcPr>
            <w:tcW w:w="966"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2</w:t>
            </w:r>
          </w:p>
        </w:tc>
        <w:tc>
          <w:tcPr>
            <w:tcW w:w="4095"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市场营销（统考）</w:t>
            </w:r>
          </w:p>
        </w:tc>
        <w:tc>
          <w:tcPr>
            <w:tcW w:w="2550"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trPr>
        <w:tc>
          <w:tcPr>
            <w:tcW w:w="966"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3</w:t>
            </w:r>
          </w:p>
        </w:tc>
        <w:tc>
          <w:tcPr>
            <w:tcW w:w="4095"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当代管理理论研究（统考）</w:t>
            </w:r>
          </w:p>
        </w:tc>
        <w:tc>
          <w:tcPr>
            <w:tcW w:w="2550"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trPr>
        <w:tc>
          <w:tcPr>
            <w:tcW w:w="966"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4</w:t>
            </w:r>
          </w:p>
        </w:tc>
        <w:tc>
          <w:tcPr>
            <w:tcW w:w="4095"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企业管理（统考）</w:t>
            </w:r>
          </w:p>
        </w:tc>
        <w:tc>
          <w:tcPr>
            <w:tcW w:w="2550"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trPr>
        <w:tc>
          <w:tcPr>
            <w:tcW w:w="966"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5</w:t>
            </w:r>
          </w:p>
        </w:tc>
        <w:tc>
          <w:tcPr>
            <w:tcW w:w="4095"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财务管理理论与实务（统考）</w:t>
            </w:r>
          </w:p>
        </w:tc>
        <w:tc>
          <w:tcPr>
            <w:tcW w:w="2550"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966"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6</w:t>
            </w:r>
          </w:p>
        </w:tc>
        <w:tc>
          <w:tcPr>
            <w:tcW w:w="4095"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财务会计理论与实务（统考）</w:t>
            </w:r>
          </w:p>
        </w:tc>
        <w:tc>
          <w:tcPr>
            <w:tcW w:w="2550"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48</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966"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7</w:t>
            </w:r>
          </w:p>
        </w:tc>
        <w:tc>
          <w:tcPr>
            <w:tcW w:w="4095"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政治经济学</w:t>
            </w:r>
          </w:p>
        </w:tc>
        <w:tc>
          <w:tcPr>
            <w:tcW w:w="2550"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966"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8</w:t>
            </w:r>
          </w:p>
        </w:tc>
        <w:tc>
          <w:tcPr>
            <w:tcW w:w="4095"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管理经济学</w:t>
            </w:r>
          </w:p>
        </w:tc>
        <w:tc>
          <w:tcPr>
            <w:tcW w:w="2550"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40</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966"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9</w:t>
            </w:r>
          </w:p>
        </w:tc>
        <w:tc>
          <w:tcPr>
            <w:tcW w:w="4095"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管理会计理论与实务</w:t>
            </w:r>
          </w:p>
        </w:tc>
        <w:tc>
          <w:tcPr>
            <w:tcW w:w="2550"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trPr>
        <w:tc>
          <w:tcPr>
            <w:tcW w:w="966"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10</w:t>
            </w:r>
          </w:p>
        </w:tc>
        <w:tc>
          <w:tcPr>
            <w:tcW w:w="4095"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审计理论与实务</w:t>
            </w:r>
          </w:p>
        </w:tc>
        <w:tc>
          <w:tcPr>
            <w:tcW w:w="2550"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42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0" w:type="dxa"/>
            <w:bottom w:w="0" w:type="dxa"/>
            <w:right w:w="0" w:type="dxa"/>
          </w:tblCellMar>
        </w:tblPrEx>
        <w:trPr>
          <w:trHeight w:val="405" w:hRule="atLeast"/>
        </w:trPr>
        <w:tc>
          <w:tcPr>
            <w:tcW w:w="966"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11</w:t>
            </w:r>
          </w:p>
        </w:tc>
        <w:tc>
          <w:tcPr>
            <w:tcW w:w="4095"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上市公司会计问题研究专题</w:t>
            </w:r>
          </w:p>
        </w:tc>
        <w:tc>
          <w:tcPr>
            <w:tcW w:w="2550"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966"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12</w:t>
            </w:r>
          </w:p>
        </w:tc>
        <w:tc>
          <w:tcPr>
            <w:tcW w:w="4095"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价值管理理论与实务</w:t>
            </w:r>
          </w:p>
        </w:tc>
        <w:tc>
          <w:tcPr>
            <w:tcW w:w="2550"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966"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13</w:t>
            </w:r>
          </w:p>
        </w:tc>
        <w:tc>
          <w:tcPr>
            <w:tcW w:w="4095"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财务报表分析专题</w:t>
            </w:r>
          </w:p>
        </w:tc>
        <w:tc>
          <w:tcPr>
            <w:tcW w:w="2550"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966"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14</w:t>
            </w:r>
          </w:p>
        </w:tc>
        <w:tc>
          <w:tcPr>
            <w:tcW w:w="4095"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文献检索与阅读</w:t>
            </w:r>
          </w:p>
        </w:tc>
        <w:tc>
          <w:tcPr>
            <w:tcW w:w="2550"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24</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rPr>
          <w:trHeight w:val="405" w:hRule="atLeast"/>
        </w:trPr>
        <w:tc>
          <w:tcPr>
            <w:tcW w:w="5061" w:type="dxa"/>
            <w:gridSpan w:val="2"/>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合计</w:t>
            </w:r>
          </w:p>
        </w:tc>
        <w:tc>
          <w:tcPr>
            <w:tcW w:w="2550" w:type="dxa"/>
            <w:tcBorders>
              <w:top w:val="single" w:color="A7A7A7" w:sz="6" w:space="0"/>
              <w:left w:val="single" w:color="A7A7A7" w:sz="6" w:space="0"/>
              <w:bottom w:val="single" w:color="A7A7A7" w:sz="6" w:space="0"/>
              <w:right w:val="single" w:color="A7A7A7" w:sz="6" w:space="0"/>
            </w:tcBorders>
            <w:shd w:val="clear" w:color="auto" w:fill="auto"/>
            <w:tcMar>
              <w:top w:w="75" w:type="dxa"/>
              <w:left w:w="150" w:type="dxa"/>
              <w:bottom w:w="75" w:type="dxa"/>
              <w:right w:w="150" w:type="dxa"/>
            </w:tcMar>
            <w:vAlign w:val="center"/>
          </w:tcPr>
          <w:p>
            <w:pPr>
              <w:pStyle w:val="3"/>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240" w:lineRule="auto"/>
              <w:ind w:left="0" w:right="0"/>
              <w:jc w:val="center"/>
              <w:rPr>
                <w:rFonts w:hint="eastAsia" w:ascii="仿宋" w:hAnsi="仿宋" w:eastAsia="仿宋" w:cs="仿宋"/>
              </w:rPr>
            </w:pPr>
            <w:r>
              <w:rPr>
                <w:rFonts w:hint="eastAsia" w:ascii="仿宋" w:hAnsi="仿宋" w:eastAsia="仿宋" w:cs="仿宋"/>
                <w:color w:val="393939"/>
                <w:spacing w:val="8"/>
                <w:sz w:val="21"/>
                <w:szCs w:val="21"/>
              </w:rPr>
              <w:t>500课时</w:t>
            </w:r>
          </w:p>
        </w:tc>
      </w:tr>
    </w:tbl>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rPr>
          <w:rFonts w:hint="eastAsia" w:ascii="仿宋" w:hAnsi="仿宋" w:eastAsia="仿宋" w:cs="仿宋"/>
        </w:rPr>
      </w:pP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rPr>
          <w:rFonts w:hint="eastAsia" w:ascii="仿宋" w:hAnsi="仿宋" w:eastAsia="仿宋" w:cs="仿宋"/>
        </w:rPr>
      </w:pPr>
    </w:p>
    <w:p>
      <w:pPr>
        <w:keepNext w:val="0"/>
        <w:keepLines w:val="0"/>
        <w:widowControl/>
        <w:suppressLineNumbers w:val="0"/>
        <w:spacing w:line="240" w:lineRule="auto"/>
        <w:jc w:val="left"/>
        <w:rPr>
          <w:rFonts w:hint="eastAsia" w:ascii="仿宋" w:hAnsi="仿宋" w:eastAsia="仿宋" w:cs="仿宋"/>
        </w:rPr>
      </w:pPr>
      <w:r>
        <w:rPr>
          <w:rFonts w:hint="eastAsia" w:ascii="仿宋" w:hAnsi="仿宋" w:eastAsia="仿宋" w:cs="仿宋"/>
          <w:kern w:val="0"/>
          <w:sz w:val="24"/>
          <w:szCs w:val="24"/>
          <w:lang w:val="en-US" w:eastAsia="zh-CN" w:bidi="ar"/>
        </w:rPr>
        <w:br w:type="textWrapping"/>
      </w:r>
      <w:r>
        <w:rPr>
          <w:rStyle w:val="6"/>
          <w:rFonts w:hint="eastAsia" w:ascii="仿宋" w:hAnsi="仿宋" w:eastAsia="仿宋" w:cs="仿宋"/>
          <w:kern w:val="0"/>
          <w:sz w:val="24"/>
          <w:szCs w:val="24"/>
          <w:lang w:val="en-US" w:eastAsia="zh-CN" w:bidi="ar"/>
        </w:rPr>
        <w:t>07其他事项：</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rFonts w:hint="eastAsia" w:ascii="仿宋" w:hAnsi="仿宋" w:eastAsia="仿宋" w:cs="仿宋"/>
        </w:rPr>
      </w:pPr>
      <w:r>
        <w:rPr>
          <w:rFonts w:hint="eastAsia" w:ascii="仿宋" w:hAnsi="仿宋" w:eastAsia="仿宋" w:cs="仿宋"/>
          <w:spacing w:val="8"/>
          <w:sz w:val="21"/>
          <w:szCs w:val="21"/>
        </w:rPr>
        <w:t>1．申请人提交的学历证书、学位证书、学位论文等必须真实有效，否则不能申请学位。若因证书等不真实造成后果，一切责任由申请人自负。</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rFonts w:hint="eastAsia" w:ascii="仿宋" w:hAnsi="仿宋" w:eastAsia="仿宋" w:cs="仿宋"/>
        </w:rPr>
      </w:pPr>
      <w:r>
        <w:rPr>
          <w:rFonts w:hint="eastAsia" w:ascii="仿宋" w:hAnsi="仿宋" w:eastAsia="仿宋" w:cs="仿宋"/>
          <w:sz w:val="21"/>
          <w:szCs w:val="21"/>
        </w:rPr>
        <w:t>2．申请人因个人原因中止学习，所交费用不予退还。</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rFonts w:hint="eastAsia" w:ascii="仿宋" w:hAnsi="仿宋" w:eastAsia="仿宋" w:cs="仿宋"/>
        </w:rPr>
      </w:pPr>
      <w:r>
        <w:rPr>
          <w:rFonts w:hint="eastAsia" w:ascii="仿宋" w:hAnsi="仿宋" w:eastAsia="仿宋" w:cs="仿宋"/>
          <w:sz w:val="21"/>
          <w:szCs w:val="21"/>
        </w:rPr>
        <w:t>3．参加国家考试费用，学习期间的书籍资料费、学位论文打印费、到校听课、参加考试和论文答辩的差旅、食宿等各项费用自理。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rFonts w:hint="eastAsia" w:ascii="仿宋" w:hAnsi="仿宋" w:eastAsia="仿宋" w:cs="仿宋"/>
        </w:rPr>
      </w:pPr>
      <w:r>
        <w:rPr>
          <w:rFonts w:hint="eastAsia" w:ascii="仿宋" w:hAnsi="仿宋" w:eastAsia="仿宋" w:cs="仿宋"/>
          <w:sz w:val="21"/>
          <w:szCs w:val="21"/>
        </w:rPr>
        <w:t>4．所有教学、考试规定都以国家和学校相关文件为准。</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rFonts w:hint="eastAsia" w:ascii="仿宋" w:hAnsi="仿宋" w:eastAsia="仿宋" w:cs="仿宋"/>
        </w:rPr>
      </w:pPr>
    </w:p>
    <w:p>
      <w:pPr>
        <w:keepNext w:val="0"/>
        <w:keepLines w:val="0"/>
        <w:widowControl/>
        <w:suppressLineNumbers w:val="0"/>
        <w:spacing w:line="240" w:lineRule="auto"/>
        <w:jc w:val="left"/>
        <w:rPr>
          <w:rFonts w:hint="eastAsia" w:ascii="仿宋" w:hAnsi="仿宋" w:eastAsia="仿宋" w:cs="仿宋"/>
        </w:rPr>
      </w:pPr>
      <w:r>
        <w:rPr>
          <w:rStyle w:val="6"/>
          <w:rFonts w:hint="eastAsia" w:ascii="仿宋" w:hAnsi="仿宋" w:eastAsia="仿宋" w:cs="仿宋"/>
          <w:kern w:val="0"/>
          <w:sz w:val="24"/>
          <w:szCs w:val="24"/>
          <w:lang w:val="en-US" w:eastAsia="zh-CN" w:bidi="ar"/>
        </w:rPr>
        <w:t>08招生报名：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rFonts w:hint="eastAsia" w:ascii="仿宋" w:hAnsi="仿宋" w:eastAsia="仿宋" w:cs="仿宋"/>
        </w:rPr>
      </w:pPr>
      <w:r>
        <w:rPr>
          <w:rFonts w:hint="eastAsia" w:ascii="仿宋" w:hAnsi="仿宋" w:eastAsia="仿宋" w:cs="仿宋"/>
          <w:sz w:val="21"/>
          <w:szCs w:val="21"/>
        </w:rPr>
        <w:t>1．报名时需提交以下材料：</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rFonts w:hint="eastAsia" w:ascii="仿宋" w:hAnsi="仿宋" w:eastAsia="仿宋" w:cs="仿宋"/>
        </w:rPr>
      </w:pPr>
      <w:r>
        <w:rPr>
          <w:rFonts w:hint="eastAsia" w:ascii="仿宋" w:hAnsi="仿宋" w:eastAsia="仿宋" w:cs="仿宋"/>
          <w:sz w:val="21"/>
          <w:szCs w:val="21"/>
        </w:rPr>
        <w:t>（1）本人身份证正、反面电子稿；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rFonts w:hint="eastAsia" w:ascii="仿宋" w:hAnsi="仿宋" w:eastAsia="仿宋" w:cs="仿宋"/>
        </w:rPr>
      </w:pPr>
      <w:r>
        <w:rPr>
          <w:rFonts w:hint="eastAsia" w:ascii="仿宋" w:hAnsi="仿宋" w:eastAsia="仿宋" w:cs="仿宋"/>
          <w:sz w:val="21"/>
          <w:szCs w:val="21"/>
        </w:rPr>
        <w:t>（2）本人本科毕业证书和学位证书电子稿；</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rFonts w:hint="eastAsia" w:ascii="仿宋" w:hAnsi="仿宋" w:eastAsia="仿宋" w:cs="仿宋"/>
        </w:rPr>
      </w:pPr>
      <w:r>
        <w:rPr>
          <w:rFonts w:hint="eastAsia" w:ascii="仿宋" w:hAnsi="仿宋" w:eastAsia="仿宋" w:cs="仿宋"/>
          <w:sz w:val="21"/>
          <w:szCs w:val="21"/>
        </w:rPr>
        <w:t>（3）正面蓝底免冠照片。</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240" w:lineRule="auto"/>
        <w:ind w:left="0" w:right="0" w:firstLine="420"/>
        <w:jc w:val="both"/>
        <w:rPr>
          <w:rFonts w:hint="eastAsia" w:ascii="仿宋" w:hAnsi="仿宋" w:eastAsia="仿宋" w:cs="仿宋"/>
        </w:rPr>
      </w:pPr>
      <w:r>
        <w:rPr>
          <w:rFonts w:hint="eastAsia" w:ascii="仿宋" w:hAnsi="仿宋" w:eastAsia="仿宋" w:cs="仿宋"/>
          <w:sz w:val="21"/>
          <w:szCs w:val="21"/>
        </w:rPr>
        <w:t>2.报名时间：全年可报名</w:t>
      </w:r>
    </w:p>
    <w:p>
      <w:pPr>
        <w:pStyle w:val="3"/>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420"/>
        <w:jc w:val="both"/>
      </w:pPr>
    </w:p>
    <w:p/>
    <w:sectPr>
      <w:pgSz w:w="11906" w:h="16838"/>
      <w:pgMar w:top="1440" w:right="1800" w:bottom="1440" w:left="1800" w:header="851" w:footer="992" w:gutter="0"/>
      <w:pgBorders w:offsetFrom="page">
        <w:top w:val="none" w:sz="0" w:space="0"/>
        <w:left w:val="none" w:sz="0" w:space="0"/>
        <w:bottom w:val="none" w:sz="0" w:space="0"/>
        <w:right w:val="none" w:sz="0" w:space="0"/>
      </w:pgBorders>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jM3NzQzZWVkNmFmNThmMDQyYWRhYjg2ZDJmNDhiYmEifQ=="/>
  </w:docVars>
  <w:rsids>
    <w:rsidRoot w:val="00000000"/>
    <w:rsid w:val="2EA9073E"/>
    <w:rsid w:val="312772B4"/>
    <w:rsid w:val="4F1C731D"/>
    <w:rsid w:val="6C4C5DF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5">
    <w:name w:val="Default Paragraph Font"/>
    <w:semiHidden/>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toc 1"/>
    <w:basedOn w:val="1"/>
    <w:next w:val="1"/>
    <w:uiPriority w:val="0"/>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paragraph" w:customStyle="1" w:styleId="7">
    <w:name w:val="样式1"/>
    <w:basedOn w:val="2"/>
    <w:qFormat/>
    <w:uiPriority w:val="0"/>
    <w:rPr>
      <w:rFonts w:asciiTheme="minorAscii" w:hAnsiTheme="minorAscii"/>
      <w:b/>
      <w:sz w:val="2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2317</Words>
  <Characters>2391</Characters>
  <Lines>0</Lines>
  <Paragraphs>0</Paragraphs>
  <TotalTime>4</TotalTime>
  <ScaleCrop>false</ScaleCrop>
  <LinksUpToDate>false</LinksUpToDate>
  <CharactersWithSpaces>2391</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2020-07-16T02:33:00Z</dcterms:created>
  <dc:creator>DELL</dc:creator>
  <cp:lastModifiedBy>马丁</cp:lastModifiedBy>
  <dcterms:modified xsi:type="dcterms:W3CDTF">2023-07-20T01:22:50Z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54A604D28BFE41EDA49C1CC1DA463D8E</vt:lpwstr>
  </property>
</Properties>
</file>