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E17DBA">
      <w:pPr>
        <w:spacing w:line="360" w:lineRule="auto"/>
        <w:ind w:firstLine="562" w:firstLineChars="200"/>
        <w:jc w:val="center"/>
        <w:rPr>
          <w:rFonts w:hint="eastAsia" w:ascii="仿宋" w:hAnsi="仿宋" w:eastAsia="仿宋" w:cs="仿宋"/>
          <w:b/>
          <w:bCs/>
          <w:sz w:val="28"/>
          <w:szCs w:val="28"/>
        </w:rPr>
      </w:pPr>
      <w:r>
        <w:rPr>
          <w:rFonts w:hint="eastAsia" w:ascii="仿宋" w:hAnsi="仿宋" w:eastAsia="仿宋" w:cs="仿宋"/>
          <w:b/>
          <w:bCs/>
          <w:sz w:val="28"/>
          <w:szCs w:val="28"/>
          <w:lang w:eastAsia="zh-CN"/>
        </w:rPr>
        <w:t>江西财经</w:t>
      </w:r>
      <w:r>
        <w:rPr>
          <w:rFonts w:hint="eastAsia" w:ascii="仿宋" w:hAnsi="仿宋" w:eastAsia="仿宋" w:cs="仿宋"/>
          <w:b/>
          <w:bCs/>
          <w:sz w:val="28"/>
          <w:szCs w:val="28"/>
        </w:rPr>
        <w:t>大学统计学专业同等学力</w:t>
      </w:r>
    </w:p>
    <w:p w14:paraId="1974A1AC">
      <w:pPr>
        <w:spacing w:line="360" w:lineRule="auto"/>
        <w:ind w:firstLine="562" w:firstLineChars="200"/>
        <w:jc w:val="center"/>
        <w:rPr>
          <w:rFonts w:hint="eastAsia" w:ascii="仿宋" w:hAnsi="仿宋" w:eastAsia="仿宋" w:cs="仿宋"/>
          <w:b/>
          <w:bCs/>
          <w:sz w:val="28"/>
          <w:szCs w:val="28"/>
        </w:rPr>
      </w:pPr>
      <w:r>
        <w:rPr>
          <w:rFonts w:hint="eastAsia" w:ascii="仿宋" w:hAnsi="仿宋" w:eastAsia="仿宋" w:cs="仿宋"/>
          <w:b/>
          <w:bCs/>
          <w:sz w:val="28"/>
          <w:szCs w:val="28"/>
        </w:rPr>
        <w:t>申请硕士学位招生简章</w:t>
      </w:r>
    </w:p>
    <w:p w14:paraId="1B73342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sz w:val="24"/>
          <w:szCs w:val="24"/>
        </w:rPr>
      </w:pPr>
      <w:r>
        <w:rPr>
          <w:rFonts w:hint="eastAsia" w:ascii="仿宋" w:hAnsi="仿宋" w:eastAsia="仿宋" w:cs="仿宋"/>
          <w:b w:val="0"/>
          <w:sz w:val="24"/>
          <w:szCs w:val="24"/>
          <w:lang w:val="en-US" w:eastAsia="zh-CN"/>
        </w:rPr>
        <w:t>江西财经大学是一所财政部、教育部、江西省人民政府共建，以经济、管理类学科为主，法、工、文、理、艺术、教育等学科协调发展的高等财经学府。</w:t>
      </w:r>
      <w:r>
        <w:rPr>
          <w:rFonts w:hint="eastAsia" w:ascii="仿宋" w:hAnsi="仿宋" w:eastAsia="仿宋" w:cs="仿宋"/>
          <w:b w:val="0"/>
          <w:sz w:val="24"/>
          <w:szCs w:val="24"/>
        </w:rPr>
        <w:t>江西财经大学统计学院源于1923年成立的江西</w:t>
      </w:r>
      <w:bookmarkStart w:id="0" w:name="_GoBack"/>
      <w:bookmarkEnd w:id="0"/>
      <w:r>
        <w:rPr>
          <w:rFonts w:hint="eastAsia" w:ascii="仿宋" w:hAnsi="仿宋" w:eastAsia="仿宋" w:cs="仿宋"/>
          <w:b w:val="0"/>
          <w:sz w:val="24"/>
          <w:szCs w:val="24"/>
        </w:rPr>
        <w:t>省立商业学校会统科,统计学专业是学校传统优势专业。经过长期发展,学院已经建成了涵盖了本科、硕博研究生完整的教学体系,拥有了学士、硕士(含专硕)、博士和博土后流动站等完善的统计学学科建设平台。学院在学科梯队、学术研究、硏究生培养等方面都形成了鲜明的特色,在第四轮全国学科评估中获得了A等级,同时也进入江西省</w:t>
      </w:r>
      <w:r>
        <w:rPr>
          <w:rFonts w:hint="eastAsia" w:ascii="仿宋" w:hAnsi="仿宋" w:eastAsia="仿宋" w:cs="仿宋"/>
          <w:b w:val="0"/>
          <w:sz w:val="24"/>
          <w:szCs w:val="24"/>
          <w:lang w:val="en-US" w:eastAsia="zh-CN"/>
        </w:rPr>
        <w:t>一</w:t>
      </w:r>
      <w:r>
        <w:rPr>
          <w:rFonts w:hint="eastAsia" w:ascii="仿宋" w:hAnsi="仿宋" w:eastAsia="仿宋" w:cs="仿宋"/>
          <w:b w:val="0"/>
          <w:sz w:val="24"/>
          <w:szCs w:val="24"/>
        </w:rPr>
        <w:t>流学科建设的方阵。</w:t>
      </w:r>
    </w:p>
    <w:p w14:paraId="6F64F35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sz w:val="24"/>
          <w:szCs w:val="24"/>
        </w:rPr>
      </w:pPr>
      <w:r>
        <w:rPr>
          <w:rFonts w:hint="eastAsia" w:ascii="仿宋" w:hAnsi="仿宋" w:eastAsia="仿宋" w:cs="仿宋"/>
          <w:b w:val="0"/>
          <w:sz w:val="24"/>
          <w:szCs w:val="24"/>
        </w:rPr>
        <w:t>在30多年</w:t>
      </w:r>
      <w:r>
        <w:rPr>
          <w:rFonts w:hint="eastAsia" w:ascii="仿宋" w:hAnsi="仿宋" w:eastAsia="仿宋" w:cs="仿宋"/>
          <w:b w:val="0"/>
          <w:sz w:val="24"/>
          <w:szCs w:val="24"/>
          <w:lang w:val="en-US" w:eastAsia="zh-CN"/>
        </w:rPr>
        <w:t>本</w:t>
      </w:r>
      <w:r>
        <w:rPr>
          <w:rFonts w:hint="eastAsia" w:ascii="仿宋" w:hAnsi="仿宋" w:eastAsia="仿宋" w:cs="仿宋"/>
          <w:b w:val="0"/>
          <w:sz w:val="24"/>
          <w:szCs w:val="24"/>
        </w:rPr>
        <w:t>科办学的历史中,学院拥有一大批德艺双馨的优秀专业教师队伍。现有教职员工76人,其中专任教师64人,长江学者讲座教授2人,国外学科领军人物4人(柔性),国务院政府特殊津贴1人,国家社科基金评委1人、教育部经济学类教学指导委员1人、教育部新世纪优秀人才1人、国家“百千万工程”人才1人、国家有突出贡献的中青年专家1人、江西省政府特殊津贴2人、江西省“白千万工程”1人、赣鄱55工程人才3人、井冈之星2人、江西省青年科学家2人、江西省名师3人,江西省模范教师1人。</w:t>
      </w:r>
    </w:p>
    <w:p w14:paraId="3ECC2D1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sz w:val="24"/>
          <w:szCs w:val="24"/>
        </w:rPr>
      </w:pPr>
      <w:r>
        <w:rPr>
          <w:rFonts w:hint="eastAsia" w:ascii="仿宋" w:hAnsi="仿宋" w:eastAsia="仿宋" w:cs="仿宋"/>
          <w:b w:val="0"/>
          <w:sz w:val="24"/>
          <w:szCs w:val="24"/>
        </w:rPr>
        <w:t>为适应改革开放和经济发展对高层次专门人才的需求,帮助在职人员在原有基础上进一步提高学术水平、综合素养和管理能力,进而更加适应经济建设和社会发展的需要。江西财经大学统计学院即日起招收在职攻读统计学专业同等学力申请硕士学位学员。</w:t>
      </w:r>
    </w:p>
    <w:p w14:paraId="0940C167">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val="en-US" w:eastAsia="zh-CN"/>
        </w:rPr>
        <w:t xml:space="preserve">一、 </w:t>
      </w:r>
      <w:r>
        <w:rPr>
          <w:rFonts w:hint="eastAsia" w:ascii="仿宋" w:hAnsi="仿宋" w:eastAsia="仿宋" w:cs="仿宋"/>
          <w:b/>
          <w:bCs/>
          <w:sz w:val="24"/>
          <w:szCs w:val="24"/>
          <w:lang w:eastAsia="zh-CN"/>
        </w:rPr>
        <w:t>招生专业：</w:t>
      </w:r>
      <w:r>
        <w:rPr>
          <w:rFonts w:hint="eastAsia" w:ascii="仿宋" w:hAnsi="仿宋" w:eastAsia="仿宋" w:cs="仿宋"/>
          <w:b w:val="0"/>
          <w:bCs w:val="0"/>
          <w:sz w:val="24"/>
          <w:szCs w:val="24"/>
          <w:lang w:eastAsia="zh-CN"/>
        </w:rPr>
        <w:t>统计学</w:t>
      </w:r>
    </w:p>
    <w:p w14:paraId="3BD18A7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仿宋" w:hAnsi="仿宋" w:eastAsia="仿宋" w:cs="仿宋"/>
          <w:b w:val="0"/>
          <w:sz w:val="24"/>
          <w:szCs w:val="24"/>
          <w:lang w:val="en-US" w:eastAsia="zh-CN"/>
        </w:rPr>
      </w:pPr>
      <w:r>
        <w:rPr>
          <w:rFonts w:hint="eastAsia" w:ascii="仿宋" w:hAnsi="仿宋" w:eastAsia="仿宋" w:cs="仿宋"/>
          <w:b/>
          <w:bCs/>
          <w:sz w:val="24"/>
          <w:szCs w:val="24"/>
          <w:lang w:val="en-US" w:eastAsia="zh-CN"/>
        </w:rPr>
        <w:t xml:space="preserve">二、 </w:t>
      </w:r>
      <w:r>
        <w:rPr>
          <w:rFonts w:hint="eastAsia" w:ascii="仿宋" w:hAnsi="仿宋" w:eastAsia="仿宋" w:cs="仿宋"/>
          <w:b/>
          <w:bCs/>
          <w:sz w:val="24"/>
          <w:szCs w:val="24"/>
          <w:lang w:eastAsia="zh-CN"/>
        </w:rPr>
        <w:t>培养方向</w:t>
      </w:r>
      <w:r>
        <w:rPr>
          <w:rFonts w:hint="eastAsia" w:ascii="仿宋" w:hAnsi="仿宋" w:eastAsia="仿宋" w:cs="仿宋"/>
          <w:b w:val="0"/>
          <w:sz w:val="24"/>
          <w:szCs w:val="24"/>
          <w:lang w:eastAsia="zh-CN"/>
        </w:rPr>
        <w:t>：</w:t>
      </w:r>
      <w:r>
        <w:rPr>
          <w:rFonts w:hint="eastAsia" w:ascii="仿宋" w:hAnsi="仿宋" w:eastAsia="仿宋" w:cs="仿宋"/>
          <w:b w:val="0"/>
          <w:sz w:val="24"/>
          <w:szCs w:val="24"/>
          <w:lang w:val="en-US" w:eastAsia="zh-CN"/>
        </w:rPr>
        <w:t>研修专业八个</w:t>
      </w:r>
      <w:r>
        <w:rPr>
          <w:rFonts w:hint="eastAsia" w:ascii="仿宋" w:hAnsi="仿宋" w:eastAsia="仿宋" w:cs="仿宋"/>
          <w:b w:val="0"/>
          <w:sz w:val="24"/>
          <w:szCs w:val="24"/>
        </w:rPr>
        <w:t>方向:金融统计</w:t>
      </w:r>
      <w:r>
        <w:rPr>
          <w:rFonts w:hint="eastAsia" w:ascii="仿宋" w:hAnsi="仿宋" w:eastAsia="仿宋" w:cs="仿宋"/>
          <w:b w:val="0"/>
          <w:sz w:val="24"/>
          <w:szCs w:val="24"/>
          <w:lang w:eastAsia="zh-CN"/>
        </w:rPr>
        <w:t>、</w:t>
      </w:r>
      <w:r>
        <w:rPr>
          <w:rFonts w:hint="eastAsia" w:ascii="仿宋" w:hAnsi="仿宋" w:eastAsia="仿宋" w:cs="仿宋"/>
          <w:b w:val="0"/>
          <w:sz w:val="24"/>
          <w:szCs w:val="24"/>
        </w:rPr>
        <w:t>卫生统计</w:t>
      </w:r>
      <w:r>
        <w:rPr>
          <w:rFonts w:hint="eastAsia" w:ascii="仿宋" w:hAnsi="仿宋" w:eastAsia="仿宋" w:cs="仿宋"/>
          <w:b w:val="0"/>
          <w:sz w:val="24"/>
          <w:szCs w:val="24"/>
          <w:lang w:eastAsia="zh-CN"/>
        </w:rPr>
        <w:t>、</w:t>
      </w:r>
      <w:r>
        <w:rPr>
          <w:rFonts w:hint="eastAsia" w:ascii="仿宋" w:hAnsi="仿宋" w:eastAsia="仿宋" w:cs="仿宋"/>
          <w:b w:val="0"/>
          <w:sz w:val="24"/>
          <w:szCs w:val="24"/>
        </w:rPr>
        <w:t>管理统计</w:t>
      </w:r>
      <w:r>
        <w:rPr>
          <w:rFonts w:hint="eastAsia" w:ascii="仿宋" w:hAnsi="仿宋" w:eastAsia="仿宋" w:cs="仿宋"/>
          <w:b w:val="0"/>
          <w:sz w:val="24"/>
          <w:szCs w:val="24"/>
          <w:lang w:eastAsia="zh-CN"/>
        </w:rPr>
        <w:t>、</w:t>
      </w:r>
      <w:r>
        <w:rPr>
          <w:rFonts w:hint="eastAsia" w:ascii="仿宋" w:hAnsi="仿宋" w:eastAsia="仿宋" w:cs="仿宋"/>
          <w:b w:val="0"/>
          <w:sz w:val="24"/>
          <w:szCs w:val="24"/>
        </w:rPr>
        <w:t>物流统计</w:t>
      </w:r>
      <w:r>
        <w:rPr>
          <w:rFonts w:hint="eastAsia" w:ascii="仿宋" w:hAnsi="仿宋" w:eastAsia="仿宋" w:cs="仿宋"/>
          <w:b w:val="0"/>
          <w:sz w:val="24"/>
          <w:szCs w:val="24"/>
          <w:lang w:eastAsia="zh-CN"/>
        </w:rPr>
        <w:t>、</w:t>
      </w:r>
      <w:r>
        <w:rPr>
          <w:rFonts w:hint="eastAsia" w:ascii="仿宋" w:hAnsi="仿宋" w:eastAsia="仿宋" w:cs="仿宋"/>
          <w:b w:val="0"/>
          <w:sz w:val="24"/>
          <w:szCs w:val="24"/>
        </w:rPr>
        <w:t>大数据统计</w:t>
      </w:r>
      <w:r>
        <w:rPr>
          <w:rFonts w:hint="eastAsia" w:ascii="仿宋" w:hAnsi="仿宋" w:eastAsia="仿宋" w:cs="仿宋"/>
          <w:b w:val="0"/>
          <w:sz w:val="24"/>
          <w:szCs w:val="24"/>
          <w:lang w:eastAsia="zh-CN"/>
        </w:rPr>
        <w:t>、</w:t>
      </w:r>
      <w:r>
        <w:rPr>
          <w:rFonts w:hint="eastAsia" w:ascii="仿宋" w:hAnsi="仿宋" w:eastAsia="仿宋" w:cs="仿宋"/>
          <w:b w:val="0"/>
          <w:sz w:val="24"/>
          <w:szCs w:val="24"/>
        </w:rPr>
        <w:t>教育统计</w:t>
      </w:r>
      <w:r>
        <w:rPr>
          <w:rFonts w:hint="eastAsia" w:ascii="仿宋" w:hAnsi="仿宋" w:eastAsia="仿宋" w:cs="仿宋"/>
          <w:b w:val="0"/>
          <w:sz w:val="24"/>
          <w:szCs w:val="24"/>
          <w:lang w:eastAsia="zh-CN"/>
        </w:rPr>
        <w:t>、</w:t>
      </w:r>
      <w:r>
        <w:rPr>
          <w:rFonts w:hint="eastAsia" w:ascii="仿宋" w:hAnsi="仿宋" w:eastAsia="仿宋" w:cs="仿宋"/>
          <w:b w:val="0"/>
          <w:sz w:val="24"/>
          <w:szCs w:val="24"/>
        </w:rPr>
        <w:t>工程统计</w:t>
      </w:r>
      <w:r>
        <w:rPr>
          <w:rFonts w:hint="eastAsia" w:ascii="仿宋" w:hAnsi="仿宋" w:eastAsia="仿宋" w:cs="仿宋"/>
          <w:b w:val="0"/>
          <w:sz w:val="24"/>
          <w:szCs w:val="24"/>
          <w:lang w:eastAsia="zh-CN"/>
        </w:rPr>
        <w:t>、</w:t>
      </w:r>
      <w:r>
        <w:rPr>
          <w:rFonts w:hint="eastAsia" w:ascii="仿宋" w:hAnsi="仿宋" w:eastAsia="仿宋" w:cs="仿宋"/>
          <w:b w:val="0"/>
          <w:sz w:val="24"/>
          <w:szCs w:val="24"/>
        </w:rPr>
        <w:t>社会统计</w:t>
      </w:r>
      <w:r>
        <w:rPr>
          <w:rFonts w:hint="eastAsia" w:ascii="仿宋" w:hAnsi="仿宋" w:eastAsia="仿宋" w:cs="仿宋"/>
          <w:b w:val="0"/>
          <w:sz w:val="24"/>
          <w:szCs w:val="24"/>
          <w:lang w:eastAsia="zh-CN"/>
        </w:rPr>
        <w:t>。</w:t>
      </w:r>
    </w:p>
    <w:p w14:paraId="691BB696">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firstLine="482" w:firstLineChars="200"/>
        <w:jc w:val="both"/>
        <w:textAlignment w:val="auto"/>
        <w:rPr>
          <w:rFonts w:hint="eastAsia" w:ascii="仿宋" w:hAnsi="仿宋" w:eastAsia="仿宋" w:cs="仿宋"/>
          <w:b w:val="0"/>
          <w:sz w:val="24"/>
          <w:szCs w:val="24"/>
        </w:rPr>
      </w:pPr>
      <w:r>
        <w:rPr>
          <w:rFonts w:hint="eastAsia" w:ascii="仿宋" w:hAnsi="仿宋" w:eastAsia="仿宋" w:cs="仿宋"/>
          <w:b/>
          <w:bCs/>
          <w:sz w:val="24"/>
          <w:szCs w:val="24"/>
          <w:lang w:val="en-US" w:eastAsia="zh-CN"/>
        </w:rPr>
        <w:t>申请条件</w:t>
      </w:r>
      <w:r>
        <w:rPr>
          <w:rFonts w:hint="eastAsia" w:ascii="仿宋" w:hAnsi="仿宋" w:eastAsia="仿宋" w:cs="仿宋"/>
          <w:b w:val="0"/>
          <w:sz w:val="24"/>
          <w:szCs w:val="24"/>
          <w:lang w:val="en-US" w:eastAsia="zh-CN"/>
        </w:rPr>
        <w:t>：1、拥</w:t>
      </w:r>
      <w:r>
        <w:rPr>
          <w:rFonts w:hint="eastAsia" w:ascii="仿宋" w:hAnsi="仿宋" w:eastAsia="仿宋" w:cs="仿宋"/>
          <w:b w:val="0"/>
          <w:sz w:val="24"/>
          <w:szCs w:val="24"/>
          <w:lang w:eastAsia="zh-CN"/>
        </w:rPr>
        <w:t>护《中华人民共和国宪法》,遵守法律、法规,品行端正。2、具有大学本科学历,获得学士学位,并获得学士学位三年以上(含三年),或虽无本科学</w:t>
      </w:r>
      <w:r>
        <w:rPr>
          <w:rFonts w:hint="eastAsia" w:ascii="仿宋" w:hAnsi="仿宋" w:eastAsia="仿宋" w:cs="仿宋"/>
          <w:b w:val="0"/>
          <w:sz w:val="24"/>
          <w:szCs w:val="24"/>
          <w:lang w:val="en-US" w:eastAsia="zh-CN"/>
        </w:rPr>
        <w:t>士</w:t>
      </w:r>
      <w:r>
        <w:rPr>
          <w:rFonts w:hint="eastAsia" w:ascii="仿宋" w:hAnsi="仿宋" w:eastAsia="仿宋" w:cs="仿宋"/>
          <w:b w:val="0"/>
          <w:sz w:val="24"/>
          <w:szCs w:val="24"/>
          <w:lang w:eastAsia="zh-CN"/>
        </w:rPr>
        <w:t>学位但</w:t>
      </w:r>
      <w:r>
        <w:rPr>
          <w:rFonts w:hint="eastAsia" w:ascii="仿宋" w:hAnsi="仿宋" w:eastAsia="仿宋" w:cs="仿宋"/>
          <w:b w:val="0"/>
          <w:sz w:val="24"/>
          <w:szCs w:val="24"/>
        </w:rPr>
        <w:t>已获得硕</w:t>
      </w:r>
      <w:r>
        <w:rPr>
          <w:rFonts w:hint="eastAsia" w:ascii="仿宋" w:hAnsi="仿宋" w:eastAsia="仿宋" w:cs="仿宋"/>
          <w:b w:val="0"/>
          <w:sz w:val="24"/>
          <w:szCs w:val="24"/>
          <w:lang w:val="en-US" w:eastAsia="zh-CN"/>
        </w:rPr>
        <w:t>士</w:t>
      </w:r>
      <w:r>
        <w:rPr>
          <w:rFonts w:hint="eastAsia" w:ascii="仿宋" w:hAnsi="仿宋" w:eastAsia="仿宋" w:cs="仿宋"/>
          <w:b w:val="0"/>
          <w:sz w:val="24"/>
          <w:szCs w:val="24"/>
        </w:rPr>
        <w:t>或博</w:t>
      </w:r>
      <w:r>
        <w:rPr>
          <w:rFonts w:hint="eastAsia" w:ascii="仿宋" w:hAnsi="仿宋" w:eastAsia="仿宋" w:cs="仿宋"/>
          <w:b w:val="0"/>
          <w:sz w:val="24"/>
          <w:szCs w:val="24"/>
          <w:lang w:val="en-US" w:eastAsia="zh-CN"/>
        </w:rPr>
        <w:t>士</w:t>
      </w:r>
      <w:r>
        <w:rPr>
          <w:rFonts w:hint="eastAsia" w:ascii="仿宋" w:hAnsi="仿宋" w:eastAsia="仿宋" w:cs="仿宋"/>
          <w:b w:val="0"/>
          <w:sz w:val="24"/>
          <w:szCs w:val="24"/>
        </w:rPr>
        <w:t>学位者。对已获得的学</w:t>
      </w:r>
      <w:r>
        <w:rPr>
          <w:rFonts w:hint="eastAsia" w:ascii="仿宋" w:hAnsi="仿宋" w:eastAsia="仿宋" w:cs="仿宋"/>
          <w:b w:val="0"/>
          <w:sz w:val="24"/>
          <w:szCs w:val="24"/>
          <w:lang w:val="en-US" w:eastAsia="zh-CN"/>
        </w:rPr>
        <w:t>士</w:t>
      </w:r>
      <w:r>
        <w:rPr>
          <w:rFonts w:hint="eastAsia" w:ascii="仿宋" w:hAnsi="仿宋" w:eastAsia="仿宋" w:cs="仿宋"/>
          <w:b w:val="0"/>
          <w:sz w:val="24"/>
          <w:szCs w:val="24"/>
        </w:rPr>
        <w:t>、硕</w:t>
      </w:r>
      <w:r>
        <w:rPr>
          <w:rFonts w:hint="eastAsia" w:ascii="仿宋" w:hAnsi="仿宋" w:eastAsia="仿宋" w:cs="仿宋"/>
          <w:b w:val="0"/>
          <w:sz w:val="24"/>
          <w:szCs w:val="24"/>
          <w:lang w:val="en-US" w:eastAsia="zh-CN"/>
        </w:rPr>
        <w:t>士</w:t>
      </w:r>
      <w:r>
        <w:rPr>
          <w:rFonts w:hint="eastAsia" w:ascii="仿宋" w:hAnsi="仿宋" w:eastAsia="仿宋" w:cs="仿宋"/>
          <w:b w:val="0"/>
          <w:sz w:val="24"/>
          <w:szCs w:val="24"/>
        </w:rPr>
        <w:t>或博</w:t>
      </w:r>
      <w:r>
        <w:rPr>
          <w:rFonts w:hint="eastAsia" w:ascii="仿宋" w:hAnsi="仿宋" w:eastAsia="仿宋" w:cs="仿宋"/>
          <w:b w:val="0"/>
          <w:sz w:val="24"/>
          <w:szCs w:val="24"/>
          <w:lang w:val="en-US" w:eastAsia="zh-CN"/>
        </w:rPr>
        <w:t>士</w:t>
      </w:r>
      <w:r>
        <w:rPr>
          <w:rFonts w:hint="eastAsia" w:ascii="仿宋" w:hAnsi="仿宋" w:eastAsia="仿宋" w:cs="仿宋"/>
          <w:b w:val="0"/>
          <w:sz w:val="24"/>
          <w:szCs w:val="24"/>
        </w:rPr>
        <w:t>学位为国(境)外学位的,其所获的国(境)外学位需经教育部留学服务中心认证。</w:t>
      </w:r>
      <w:r>
        <w:rPr>
          <w:rFonts w:hint="eastAsia" w:ascii="仿宋" w:hAnsi="仿宋" w:eastAsia="仿宋" w:cs="仿宋"/>
          <w:b w:val="0"/>
          <w:sz w:val="24"/>
          <w:szCs w:val="24"/>
          <w:lang w:val="en-US" w:eastAsia="zh-CN"/>
        </w:rPr>
        <w:t>3、</w:t>
      </w:r>
      <w:r>
        <w:rPr>
          <w:rFonts w:hint="eastAsia" w:ascii="仿宋" w:hAnsi="仿宋" w:eastAsia="仿宋" w:cs="仿宋"/>
          <w:b w:val="0"/>
          <w:sz w:val="24"/>
          <w:szCs w:val="24"/>
        </w:rPr>
        <w:t>学士学位未满三年可以先入学课程学习,待满三年参加全国统一考试后方可申请</w:t>
      </w:r>
      <w:r>
        <w:rPr>
          <w:rFonts w:hint="eastAsia" w:ascii="仿宋" w:hAnsi="仿宋" w:eastAsia="仿宋" w:cs="仿宋"/>
          <w:b w:val="0"/>
          <w:sz w:val="24"/>
          <w:szCs w:val="24"/>
          <w:lang w:val="en-US" w:eastAsia="zh-CN"/>
        </w:rPr>
        <w:t>硕士学位。</w:t>
      </w:r>
      <w:r>
        <w:rPr>
          <w:rFonts w:hint="eastAsia" w:ascii="仿宋" w:hAnsi="仿宋" w:eastAsia="仿宋" w:cs="仿宋"/>
          <w:b w:val="0"/>
          <w:sz w:val="24"/>
          <w:szCs w:val="24"/>
        </w:rPr>
        <w:t>4</w:t>
      </w:r>
      <w:r>
        <w:rPr>
          <w:rFonts w:hint="eastAsia" w:ascii="仿宋" w:hAnsi="仿宋" w:eastAsia="仿宋" w:cs="仿宋"/>
          <w:b w:val="0"/>
          <w:sz w:val="24"/>
          <w:szCs w:val="24"/>
          <w:lang w:eastAsia="zh-CN"/>
        </w:rPr>
        <w:t>、</w:t>
      </w:r>
      <w:r>
        <w:rPr>
          <w:rFonts w:hint="eastAsia" w:ascii="仿宋" w:hAnsi="仿宋" w:eastAsia="仿宋" w:cs="仿宋"/>
          <w:b w:val="0"/>
          <w:sz w:val="24"/>
          <w:szCs w:val="24"/>
        </w:rPr>
        <w:t>具有大学</w:t>
      </w:r>
      <w:r>
        <w:rPr>
          <w:rFonts w:hint="eastAsia" w:ascii="仿宋" w:hAnsi="仿宋" w:eastAsia="仿宋" w:cs="仿宋"/>
          <w:b w:val="0"/>
          <w:sz w:val="24"/>
          <w:szCs w:val="24"/>
          <w:lang w:val="en-US" w:eastAsia="zh-CN"/>
        </w:rPr>
        <w:t>本</w:t>
      </w:r>
      <w:r>
        <w:rPr>
          <w:rFonts w:hint="eastAsia" w:ascii="仿宋" w:hAnsi="仿宋" w:eastAsia="仿宋" w:cs="仿宋"/>
          <w:b w:val="0"/>
          <w:sz w:val="24"/>
          <w:szCs w:val="24"/>
        </w:rPr>
        <w:t>科学历,但无学士学位或大专学历者可参加课程学习,获得江西财经大学研究生课程结业证书,但不能参加硕士学位申请。</w:t>
      </w:r>
    </w:p>
    <w:p w14:paraId="1E0AB74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textAlignment w:val="auto"/>
        <w:rPr>
          <w:rFonts w:hint="eastAsia" w:ascii="仿宋" w:hAnsi="仿宋" w:eastAsia="仿宋" w:cs="仿宋"/>
          <w:b w:val="0"/>
          <w:sz w:val="24"/>
          <w:szCs w:val="24"/>
          <w:lang w:val="en-US" w:eastAsia="zh-CN"/>
        </w:rPr>
      </w:pPr>
      <w:r>
        <w:rPr>
          <w:rFonts w:hint="eastAsia" w:ascii="仿宋" w:hAnsi="仿宋" w:eastAsia="仿宋" w:cs="仿宋"/>
          <w:b/>
          <w:bCs/>
          <w:sz w:val="24"/>
          <w:szCs w:val="24"/>
          <w:lang w:val="en-US" w:eastAsia="zh-CN"/>
        </w:rPr>
        <w:t>四、同等学力申硕课程学习阶段和学位论文阶段相关要求</w:t>
      </w:r>
    </w:p>
    <w:p w14:paraId="5A8103A0">
      <w:pPr>
        <w:widowControl/>
        <w:shd w:val="clear" w:color="auto" w:fill="FEFAFB"/>
        <w:spacing w:line="480" w:lineRule="atLeast"/>
        <w:ind w:firstLine="42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同等学力人员申请硕士学位分为三个阶段:课程学习培养阶段(简称第一阶段)、全国统一考试阶段(简称第二阶段)和撰写学位论文及答辩阶段(简称第三阶段)。</w:t>
      </w:r>
    </w:p>
    <w:p w14:paraId="26BF0179">
      <w:pPr>
        <w:widowControl/>
        <w:numPr>
          <w:ilvl w:val="0"/>
          <w:numId w:val="2"/>
        </w:numPr>
        <w:shd w:val="clear" w:color="auto" w:fill="FEFAFB"/>
        <w:spacing w:line="480" w:lineRule="atLeast"/>
        <w:ind w:firstLine="42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一阶段(课程学习):申请人自通过资格审查之日起,按学校教学进度安排,修完江西财经大学同等学力规定的全部课程,按要求参加课程考试,成绩合格,可获待江西财经大学硏究生课程结业证书(为同等学力教育)。课程学习期一般为1年,每月集中双休日授课。</w:t>
      </w:r>
    </w:p>
    <w:p w14:paraId="12D2A2F4">
      <w:pPr>
        <w:widowControl/>
        <w:numPr>
          <w:ilvl w:val="0"/>
          <w:numId w:val="2"/>
        </w:numPr>
        <w:shd w:val="clear" w:color="auto" w:fill="FEFAFB"/>
        <w:spacing w:line="480" w:lineRule="atLeast"/>
        <w:ind w:firstLine="42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第二阶段(全国统一考试):获得学士学位满3年并修满学校规定的学分者,申请同等学力人员申请硕士学位外国语水平全国统一考试和学科专业综合考试。(每年一次)</w:t>
      </w:r>
    </w:p>
    <w:p w14:paraId="1B31426B">
      <w:pPr>
        <w:widowControl/>
        <w:numPr>
          <w:ilvl w:val="0"/>
          <w:numId w:val="2"/>
        </w:numPr>
        <w:shd w:val="clear" w:color="auto" w:fill="FEFAFB"/>
        <w:spacing w:line="480" w:lineRule="atLeast"/>
        <w:ind w:firstLine="42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第三阶段(论文写作答辩):全国统一组织的外国语水平考试及学科专业综合考试成绩合格者,并完成研究生课程学习者方可进入硕士学位论文写作阶段。</w:t>
      </w:r>
    </w:p>
    <w:p w14:paraId="51BBE8E7">
      <w:pPr>
        <w:widowControl/>
        <w:shd w:val="clear" w:color="auto" w:fill="FEFAFB"/>
        <w:spacing w:line="480" w:lineRule="atLeast"/>
        <w:ind w:firstLine="420"/>
        <w:jc w:val="both"/>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 xml:space="preserve"> 论文通过评审、答辩,经我校学位委员会批准,授予国务院学位委员会统一颁发的硕士学位证书。</w:t>
      </w:r>
      <w:r>
        <w:rPr>
          <w:rFonts w:hint="eastAsia" w:ascii="仿宋" w:hAnsi="仿宋" w:eastAsia="仿宋" w:cs="仿宋"/>
          <w:b/>
          <w:bCs/>
          <w:color w:val="000000"/>
          <w:kern w:val="0"/>
          <w:sz w:val="24"/>
          <w:szCs w:val="24"/>
        </w:rPr>
        <w:t>学位论文及答辩阶段一般为1年，四年内未全部通过课程和全国统一考试者，所修课程学分无效。</w:t>
      </w:r>
    </w:p>
    <w:p w14:paraId="0840840A">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仿宋" w:hAnsi="仿宋" w:eastAsia="仿宋" w:cs="仿宋"/>
          <w:b w:val="0"/>
          <w:sz w:val="24"/>
          <w:szCs w:val="24"/>
          <w:lang w:val="en-US" w:eastAsia="zh-CN"/>
        </w:rPr>
      </w:pPr>
      <w:r>
        <w:rPr>
          <w:rFonts w:hint="eastAsia" w:ascii="仿宋" w:hAnsi="仿宋" w:eastAsia="仿宋" w:cs="仿宋"/>
          <w:color w:val="000000"/>
          <w:kern w:val="0"/>
          <w:sz w:val="24"/>
          <w:szCs w:val="24"/>
        </w:rPr>
        <w:t>注：申请人必须在完成规定学分并通过全国外语水平统考和学科专业综合考试后一年内向学校提出学位论文申请。全国统一组织的外国语水平考试和学科专业综合考试每年3月初报名,5月下旬考试。外语统考约4级水平。</w:t>
      </w:r>
    </w:p>
    <w:p w14:paraId="7C6C8F3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五、学费</w:t>
      </w:r>
    </w:p>
    <w:p w14:paraId="70558802">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b w:val="0"/>
          <w:sz w:val="24"/>
          <w:szCs w:val="24"/>
          <w:lang w:val="en-US" w:eastAsia="zh-CN"/>
        </w:rPr>
      </w:pPr>
      <w:r>
        <w:rPr>
          <w:rFonts w:hint="eastAsia" w:ascii="仿宋" w:hAnsi="仿宋" w:eastAsia="仿宋" w:cs="仿宋"/>
          <w:b w:val="0"/>
          <w:sz w:val="24"/>
          <w:szCs w:val="24"/>
          <w:lang w:val="en-US" w:eastAsia="zh-CN"/>
        </w:rPr>
        <w:t>根据我校下发的《江西财经大学同等学力人员申请硕士学位收入管理办法》的通知（江财财务字【2022】4号）文件精神，从即日起，学费缴纳分两段制进行，即课程学习阶段和学位论文阶段。学生缴纳相关费用后，可获得学校财务处开具的电子缴费发票。</w:t>
      </w:r>
    </w:p>
    <w:p w14:paraId="48F43C26">
      <w:pPr>
        <w:numPr>
          <w:ilvl w:val="0"/>
          <w:numId w:val="3"/>
        </w:numPr>
        <w:ind w:left="360" w:leftChars="0" w:firstLine="0" w:firstLineChars="0"/>
        <w:rPr>
          <w:rFonts w:hint="eastAsia" w:ascii="仿宋" w:hAnsi="仿宋" w:eastAsia="仿宋" w:cs="仿宋"/>
          <w:b w:val="0"/>
          <w:sz w:val="24"/>
          <w:szCs w:val="24"/>
          <w:lang w:val="en-US" w:eastAsia="zh-CN"/>
        </w:rPr>
      </w:pPr>
      <w:r>
        <w:rPr>
          <w:rFonts w:hint="eastAsia" w:ascii="仿宋" w:hAnsi="仿宋" w:eastAsia="仿宋" w:cs="仿宋"/>
          <w:b/>
          <w:bCs/>
          <w:sz w:val="24"/>
          <w:szCs w:val="24"/>
          <w:lang w:val="en-US" w:eastAsia="zh-CN"/>
        </w:rPr>
        <w:t>课程设置</w:t>
      </w:r>
    </w:p>
    <w:p w14:paraId="24A2DD5E">
      <w:pPr>
        <w:ind w:firstLine="480" w:firstLineChars="200"/>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统计</w:t>
      </w:r>
      <w:r>
        <w:rPr>
          <w:rFonts w:hint="eastAsia" w:ascii="仿宋" w:hAnsi="仿宋" w:eastAsia="仿宋" w:cs="仿宋"/>
          <w:sz w:val="24"/>
          <w:szCs w:val="24"/>
          <w:u w:val="single"/>
        </w:rPr>
        <w:t xml:space="preserve">学   </w:t>
      </w:r>
      <w:r>
        <w:rPr>
          <w:rFonts w:hint="eastAsia" w:ascii="仿宋" w:hAnsi="仿宋" w:eastAsia="仿宋" w:cs="仿宋"/>
          <w:sz w:val="24"/>
          <w:szCs w:val="24"/>
        </w:rPr>
        <w:t xml:space="preserve">专业  </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理学类）</w:t>
      </w:r>
    </w:p>
    <w:tbl>
      <w:tblPr>
        <w:tblStyle w:val="2"/>
        <w:tblW w:w="8318"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303"/>
        <w:gridCol w:w="3195"/>
        <w:gridCol w:w="1220"/>
        <w:gridCol w:w="1600"/>
      </w:tblGrid>
      <w:tr w14:paraId="7913D31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641" w:hRule="atLeast"/>
          <w:jc w:val="center"/>
        </w:trPr>
        <w:tc>
          <w:tcPr>
            <w:tcW w:w="2303" w:type="dxa"/>
            <w:vMerge w:val="restart"/>
            <w:noWrap w:val="0"/>
            <w:vAlign w:val="center"/>
          </w:tcPr>
          <w:p w14:paraId="5651C8D8">
            <w:pPr>
              <w:spacing w:line="0" w:lineRule="atLeast"/>
              <w:jc w:val="center"/>
              <w:rPr>
                <w:rFonts w:hint="eastAsia" w:ascii="仿宋" w:hAnsi="仿宋" w:eastAsia="仿宋" w:cs="仿宋"/>
                <w:sz w:val="24"/>
                <w:szCs w:val="24"/>
                <w:lang w:val="en-US" w:eastAsia="zh-CN"/>
              </w:rPr>
            </w:pPr>
            <w:r>
              <w:rPr>
                <w:rFonts w:hint="eastAsia" w:ascii="仿宋" w:hAnsi="仿宋" w:eastAsia="仿宋" w:cs="仿宋"/>
                <w:sz w:val="24"/>
                <w:szCs w:val="24"/>
              </w:rPr>
              <w:t xml:space="preserve">课 程 </w:t>
            </w:r>
            <w:r>
              <w:rPr>
                <w:rFonts w:hint="eastAsia" w:ascii="仿宋" w:hAnsi="仿宋" w:eastAsia="仿宋" w:cs="仿宋"/>
                <w:sz w:val="24"/>
                <w:szCs w:val="24"/>
                <w:lang w:val="en-US" w:eastAsia="zh-CN"/>
              </w:rPr>
              <w:t>类 别</w:t>
            </w:r>
          </w:p>
        </w:tc>
        <w:tc>
          <w:tcPr>
            <w:tcW w:w="3195" w:type="dxa"/>
            <w:vMerge w:val="restart"/>
            <w:noWrap w:val="0"/>
            <w:vAlign w:val="center"/>
          </w:tcPr>
          <w:p w14:paraId="73419182">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课 程 名 称</w:t>
            </w:r>
          </w:p>
        </w:tc>
        <w:tc>
          <w:tcPr>
            <w:tcW w:w="1220" w:type="dxa"/>
            <w:vMerge w:val="restart"/>
            <w:noWrap w:val="0"/>
            <w:vAlign w:val="center"/>
          </w:tcPr>
          <w:p w14:paraId="56970434">
            <w:pPr>
              <w:spacing w:line="0" w:lineRule="atLeast"/>
              <w:jc w:val="center"/>
              <w:rPr>
                <w:rFonts w:hint="eastAsia" w:ascii="仿宋" w:hAnsi="仿宋" w:eastAsia="仿宋" w:cs="仿宋"/>
                <w:sz w:val="24"/>
                <w:szCs w:val="24"/>
              </w:rPr>
            </w:pPr>
            <w:r>
              <w:rPr>
                <w:rFonts w:hint="eastAsia" w:ascii="仿宋" w:hAnsi="仿宋" w:eastAsia="仿宋" w:cs="仿宋"/>
                <w:sz w:val="24"/>
                <w:szCs w:val="24"/>
              </w:rPr>
              <w:t>学分</w:t>
            </w:r>
          </w:p>
        </w:tc>
        <w:tc>
          <w:tcPr>
            <w:tcW w:w="1600" w:type="dxa"/>
            <w:vMerge w:val="restart"/>
            <w:noWrap w:val="0"/>
            <w:vAlign w:val="center"/>
          </w:tcPr>
          <w:p w14:paraId="34157F3B">
            <w:pPr>
              <w:spacing w:line="0" w:lineRule="atLeas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授课方式</w:t>
            </w:r>
          </w:p>
        </w:tc>
      </w:tr>
      <w:tr w14:paraId="6542C5A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59" w:hRule="atLeast"/>
          <w:jc w:val="center"/>
        </w:trPr>
        <w:tc>
          <w:tcPr>
            <w:tcW w:w="2303" w:type="dxa"/>
            <w:vMerge w:val="continue"/>
            <w:noWrap w:val="0"/>
            <w:vAlign w:val="center"/>
          </w:tcPr>
          <w:p w14:paraId="04A82429">
            <w:pPr>
              <w:spacing w:line="0" w:lineRule="atLeast"/>
              <w:jc w:val="center"/>
              <w:rPr>
                <w:rFonts w:hint="eastAsia" w:ascii="仿宋" w:hAnsi="仿宋" w:eastAsia="仿宋" w:cs="仿宋"/>
                <w:sz w:val="24"/>
                <w:szCs w:val="24"/>
              </w:rPr>
            </w:pPr>
          </w:p>
        </w:tc>
        <w:tc>
          <w:tcPr>
            <w:tcW w:w="3195" w:type="dxa"/>
            <w:vMerge w:val="continue"/>
            <w:noWrap w:val="0"/>
            <w:vAlign w:val="center"/>
          </w:tcPr>
          <w:p w14:paraId="2E393C8A">
            <w:pPr>
              <w:jc w:val="center"/>
              <w:rPr>
                <w:rFonts w:hint="eastAsia" w:ascii="仿宋" w:hAnsi="仿宋" w:eastAsia="仿宋" w:cs="仿宋"/>
                <w:sz w:val="24"/>
                <w:szCs w:val="24"/>
                <w:lang w:val="en-US" w:eastAsia="zh-CN"/>
              </w:rPr>
            </w:pPr>
          </w:p>
        </w:tc>
        <w:tc>
          <w:tcPr>
            <w:tcW w:w="1220" w:type="dxa"/>
            <w:vMerge w:val="continue"/>
            <w:noWrap w:val="0"/>
            <w:vAlign w:val="center"/>
          </w:tcPr>
          <w:p w14:paraId="3B81F5B7">
            <w:pPr>
              <w:spacing w:line="0" w:lineRule="atLeast"/>
              <w:jc w:val="center"/>
              <w:rPr>
                <w:rFonts w:hint="eastAsia" w:ascii="仿宋" w:hAnsi="仿宋" w:eastAsia="仿宋" w:cs="仿宋"/>
                <w:sz w:val="24"/>
                <w:szCs w:val="24"/>
              </w:rPr>
            </w:pPr>
          </w:p>
        </w:tc>
        <w:tc>
          <w:tcPr>
            <w:tcW w:w="1600" w:type="dxa"/>
            <w:vMerge w:val="continue"/>
            <w:noWrap w:val="0"/>
            <w:vAlign w:val="center"/>
          </w:tcPr>
          <w:p w14:paraId="65025514">
            <w:pPr>
              <w:spacing w:line="0" w:lineRule="atLeast"/>
              <w:jc w:val="center"/>
              <w:rPr>
                <w:rFonts w:hint="eastAsia" w:ascii="仿宋" w:hAnsi="仿宋" w:eastAsia="仿宋" w:cs="仿宋"/>
                <w:sz w:val="24"/>
                <w:szCs w:val="24"/>
              </w:rPr>
            </w:pPr>
          </w:p>
        </w:tc>
      </w:tr>
      <w:tr w14:paraId="2FBF628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85" w:hRule="exact"/>
          <w:jc w:val="center"/>
        </w:trPr>
        <w:tc>
          <w:tcPr>
            <w:tcW w:w="2303" w:type="dxa"/>
            <w:vMerge w:val="restart"/>
            <w:tcBorders>
              <w:right w:val="single" w:color="auto" w:sz="4" w:space="0"/>
            </w:tcBorders>
            <w:noWrap w:val="0"/>
            <w:vAlign w:val="center"/>
          </w:tcPr>
          <w:p w14:paraId="33B8F8E8">
            <w:pPr>
              <w:spacing w:line="0" w:lineRule="atLeas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公共课</w:t>
            </w:r>
          </w:p>
        </w:tc>
        <w:tc>
          <w:tcPr>
            <w:tcW w:w="3195" w:type="dxa"/>
            <w:noWrap w:val="0"/>
            <w:vAlign w:val="center"/>
          </w:tcPr>
          <w:p w14:paraId="07275EED">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公共英语（精读、听说）</w:t>
            </w:r>
          </w:p>
        </w:tc>
        <w:tc>
          <w:tcPr>
            <w:tcW w:w="1220" w:type="dxa"/>
            <w:noWrap w:val="0"/>
            <w:vAlign w:val="center"/>
          </w:tcPr>
          <w:p w14:paraId="3D939111">
            <w:pPr>
              <w:jc w:val="center"/>
              <w:rPr>
                <w:rFonts w:hint="eastAsia" w:ascii="仿宋" w:hAnsi="仿宋" w:eastAsia="仿宋" w:cs="仿宋"/>
                <w:sz w:val="24"/>
                <w:szCs w:val="24"/>
              </w:rPr>
            </w:pPr>
            <w:r>
              <w:rPr>
                <w:rFonts w:hint="eastAsia" w:ascii="仿宋" w:hAnsi="仿宋" w:eastAsia="仿宋" w:cs="仿宋"/>
                <w:sz w:val="24"/>
                <w:szCs w:val="24"/>
              </w:rPr>
              <w:t>2</w:t>
            </w:r>
          </w:p>
        </w:tc>
        <w:tc>
          <w:tcPr>
            <w:tcW w:w="1600" w:type="dxa"/>
            <w:vMerge w:val="restart"/>
            <w:noWrap w:val="0"/>
            <w:vAlign w:val="center"/>
          </w:tcPr>
          <w:p w14:paraId="7D571B72">
            <w:pPr>
              <w:spacing w:line="360" w:lineRule="exact"/>
              <w:jc w:val="center"/>
              <w:rPr>
                <w:rFonts w:hint="eastAsia" w:ascii="仿宋" w:hAnsi="仿宋" w:eastAsia="仿宋" w:cs="仿宋"/>
                <w:sz w:val="24"/>
                <w:szCs w:val="24"/>
                <w:lang w:val="en-US"/>
              </w:rPr>
            </w:pPr>
            <w:r>
              <w:rPr>
                <w:rFonts w:hint="eastAsia" w:ascii="仿宋" w:hAnsi="仿宋" w:eastAsia="仿宋" w:cs="仿宋"/>
                <w:sz w:val="24"/>
                <w:szCs w:val="24"/>
                <w:lang w:val="en-US" w:eastAsia="zh-CN"/>
              </w:rPr>
              <w:t>线上</w:t>
            </w:r>
          </w:p>
        </w:tc>
      </w:tr>
      <w:tr w14:paraId="774662D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575" w:hRule="exact"/>
          <w:jc w:val="center"/>
        </w:trPr>
        <w:tc>
          <w:tcPr>
            <w:tcW w:w="2303" w:type="dxa"/>
            <w:vMerge w:val="continue"/>
            <w:tcBorders>
              <w:right w:val="single" w:color="auto" w:sz="4" w:space="0"/>
            </w:tcBorders>
            <w:noWrap w:val="0"/>
            <w:vAlign w:val="center"/>
          </w:tcPr>
          <w:p w14:paraId="5DC9298C">
            <w:pPr>
              <w:spacing w:line="0" w:lineRule="atLeast"/>
              <w:jc w:val="center"/>
              <w:rPr>
                <w:rFonts w:hint="eastAsia" w:ascii="仿宋" w:hAnsi="仿宋" w:eastAsia="仿宋" w:cs="仿宋"/>
                <w:sz w:val="24"/>
                <w:szCs w:val="24"/>
              </w:rPr>
            </w:pPr>
          </w:p>
        </w:tc>
        <w:tc>
          <w:tcPr>
            <w:tcW w:w="3195" w:type="dxa"/>
            <w:noWrap w:val="0"/>
            <w:vAlign w:val="center"/>
          </w:tcPr>
          <w:p w14:paraId="56A8FBA6">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科学社会主义理论与实践</w:t>
            </w:r>
          </w:p>
        </w:tc>
        <w:tc>
          <w:tcPr>
            <w:tcW w:w="1220" w:type="dxa"/>
            <w:noWrap w:val="0"/>
            <w:vAlign w:val="center"/>
          </w:tcPr>
          <w:p w14:paraId="005F3CAE">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600" w:type="dxa"/>
            <w:vMerge w:val="continue"/>
            <w:noWrap w:val="0"/>
            <w:vAlign w:val="center"/>
          </w:tcPr>
          <w:p w14:paraId="24822906">
            <w:pPr>
              <w:jc w:val="center"/>
              <w:rPr>
                <w:rFonts w:hint="eastAsia" w:ascii="仿宋" w:hAnsi="仿宋" w:eastAsia="仿宋" w:cs="仿宋"/>
                <w:sz w:val="24"/>
                <w:szCs w:val="24"/>
              </w:rPr>
            </w:pPr>
          </w:p>
        </w:tc>
      </w:tr>
      <w:tr w14:paraId="5510D69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592" w:hRule="exact"/>
          <w:jc w:val="center"/>
        </w:trPr>
        <w:tc>
          <w:tcPr>
            <w:tcW w:w="2303" w:type="dxa"/>
            <w:vMerge w:val="continue"/>
            <w:tcBorders>
              <w:right w:val="single" w:color="auto" w:sz="4" w:space="0"/>
            </w:tcBorders>
            <w:noWrap w:val="0"/>
            <w:vAlign w:val="center"/>
          </w:tcPr>
          <w:p w14:paraId="7A596A15">
            <w:pPr>
              <w:spacing w:line="0" w:lineRule="atLeast"/>
              <w:jc w:val="center"/>
              <w:rPr>
                <w:rFonts w:hint="eastAsia" w:ascii="仿宋" w:hAnsi="仿宋" w:eastAsia="仿宋" w:cs="仿宋"/>
                <w:sz w:val="24"/>
                <w:szCs w:val="24"/>
              </w:rPr>
            </w:pPr>
          </w:p>
        </w:tc>
        <w:tc>
          <w:tcPr>
            <w:tcW w:w="3195" w:type="dxa"/>
            <w:tcBorders>
              <w:bottom w:val="single" w:color="auto" w:sz="4" w:space="0"/>
            </w:tcBorders>
            <w:noWrap w:val="0"/>
            <w:vAlign w:val="center"/>
          </w:tcPr>
          <w:p w14:paraId="31096E94">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计量经济学</w:t>
            </w:r>
          </w:p>
        </w:tc>
        <w:tc>
          <w:tcPr>
            <w:tcW w:w="1220" w:type="dxa"/>
            <w:noWrap w:val="0"/>
            <w:vAlign w:val="center"/>
          </w:tcPr>
          <w:p w14:paraId="7B41BAA5">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600" w:type="dxa"/>
            <w:vMerge w:val="continue"/>
            <w:noWrap w:val="0"/>
            <w:vAlign w:val="center"/>
          </w:tcPr>
          <w:p w14:paraId="0FC8EACE">
            <w:pPr>
              <w:jc w:val="center"/>
              <w:rPr>
                <w:rFonts w:hint="eastAsia" w:ascii="仿宋" w:hAnsi="仿宋" w:eastAsia="仿宋" w:cs="仿宋"/>
                <w:sz w:val="24"/>
                <w:szCs w:val="24"/>
              </w:rPr>
            </w:pPr>
          </w:p>
        </w:tc>
      </w:tr>
      <w:tr w14:paraId="7F8E618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592" w:hRule="exact"/>
          <w:jc w:val="center"/>
        </w:trPr>
        <w:tc>
          <w:tcPr>
            <w:tcW w:w="2303" w:type="dxa"/>
            <w:vMerge w:val="continue"/>
            <w:tcBorders>
              <w:right w:val="single" w:color="auto" w:sz="4" w:space="0"/>
            </w:tcBorders>
            <w:noWrap w:val="0"/>
            <w:vAlign w:val="center"/>
          </w:tcPr>
          <w:p w14:paraId="32E730F6">
            <w:pPr>
              <w:spacing w:line="0" w:lineRule="atLeast"/>
              <w:jc w:val="center"/>
              <w:rPr>
                <w:rFonts w:hint="eastAsia" w:ascii="仿宋" w:hAnsi="仿宋" w:eastAsia="仿宋" w:cs="仿宋"/>
                <w:sz w:val="24"/>
                <w:szCs w:val="24"/>
              </w:rPr>
            </w:pPr>
          </w:p>
        </w:tc>
        <w:tc>
          <w:tcPr>
            <w:tcW w:w="3195" w:type="dxa"/>
            <w:tcBorders>
              <w:bottom w:val="single" w:color="auto" w:sz="4" w:space="0"/>
            </w:tcBorders>
            <w:noWrap w:val="0"/>
            <w:vAlign w:val="center"/>
          </w:tcPr>
          <w:p w14:paraId="681F2B86">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中级西方经济学</w:t>
            </w:r>
          </w:p>
        </w:tc>
        <w:tc>
          <w:tcPr>
            <w:tcW w:w="1220" w:type="dxa"/>
            <w:noWrap w:val="0"/>
            <w:vAlign w:val="center"/>
          </w:tcPr>
          <w:p w14:paraId="6DCFD444">
            <w:pPr>
              <w:jc w:val="center"/>
              <w:rPr>
                <w:rFonts w:hint="eastAsia" w:ascii="仿宋" w:hAnsi="仿宋" w:eastAsia="仿宋" w:cs="仿宋"/>
                <w:sz w:val="24"/>
                <w:szCs w:val="24"/>
              </w:rPr>
            </w:pPr>
            <w:r>
              <w:rPr>
                <w:rFonts w:hint="eastAsia" w:ascii="仿宋" w:hAnsi="仿宋" w:eastAsia="仿宋" w:cs="仿宋"/>
                <w:sz w:val="24"/>
                <w:szCs w:val="24"/>
              </w:rPr>
              <w:t>4</w:t>
            </w:r>
          </w:p>
        </w:tc>
        <w:tc>
          <w:tcPr>
            <w:tcW w:w="1600" w:type="dxa"/>
            <w:vMerge w:val="continue"/>
            <w:noWrap w:val="0"/>
            <w:vAlign w:val="center"/>
          </w:tcPr>
          <w:p w14:paraId="67DC81E2">
            <w:pPr>
              <w:jc w:val="center"/>
              <w:rPr>
                <w:rFonts w:hint="eastAsia" w:ascii="仿宋" w:hAnsi="仿宋" w:eastAsia="仿宋" w:cs="仿宋"/>
                <w:sz w:val="24"/>
                <w:szCs w:val="24"/>
              </w:rPr>
            </w:pPr>
          </w:p>
        </w:tc>
      </w:tr>
      <w:tr w14:paraId="7C2D038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608" w:hRule="exact"/>
          <w:jc w:val="center"/>
        </w:trPr>
        <w:tc>
          <w:tcPr>
            <w:tcW w:w="2303" w:type="dxa"/>
            <w:vMerge w:val="restart"/>
            <w:tcBorders>
              <w:right w:val="single" w:color="auto" w:sz="4" w:space="0"/>
            </w:tcBorders>
            <w:shd w:val="clear" w:color="auto" w:fill="auto"/>
            <w:noWrap w:val="0"/>
            <w:vAlign w:val="center"/>
          </w:tcPr>
          <w:p w14:paraId="57B29318">
            <w:pPr>
              <w:spacing w:line="3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专业课</w:t>
            </w:r>
          </w:p>
        </w:tc>
        <w:tc>
          <w:tcPr>
            <w:tcW w:w="3195" w:type="dxa"/>
            <w:tcBorders>
              <w:top w:val="single" w:color="auto" w:sz="4" w:space="0"/>
              <w:bottom w:val="single" w:color="auto" w:sz="4" w:space="0"/>
            </w:tcBorders>
            <w:shd w:val="clear" w:color="auto" w:fill="auto"/>
            <w:noWrap w:val="0"/>
            <w:vAlign w:val="center"/>
          </w:tcPr>
          <w:p w14:paraId="67103F2D">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国民经济核算问题研究</w:t>
            </w:r>
          </w:p>
        </w:tc>
        <w:tc>
          <w:tcPr>
            <w:tcW w:w="1220" w:type="dxa"/>
            <w:tcBorders>
              <w:bottom w:val="single" w:color="auto" w:sz="4" w:space="0"/>
            </w:tcBorders>
            <w:shd w:val="clear" w:color="auto" w:fill="auto"/>
            <w:noWrap w:val="0"/>
            <w:vAlign w:val="center"/>
          </w:tcPr>
          <w:p w14:paraId="676D1EE9">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3</w:t>
            </w:r>
          </w:p>
        </w:tc>
        <w:tc>
          <w:tcPr>
            <w:tcW w:w="1600" w:type="dxa"/>
            <w:vMerge w:val="continue"/>
            <w:shd w:val="clear" w:color="auto" w:fill="auto"/>
            <w:noWrap w:val="0"/>
            <w:vAlign w:val="center"/>
          </w:tcPr>
          <w:p w14:paraId="575C8A03">
            <w:pPr>
              <w:spacing w:line="360" w:lineRule="exact"/>
              <w:jc w:val="center"/>
              <w:rPr>
                <w:rFonts w:hint="eastAsia" w:ascii="仿宋" w:hAnsi="仿宋" w:eastAsia="仿宋" w:cs="仿宋"/>
                <w:sz w:val="24"/>
                <w:szCs w:val="24"/>
              </w:rPr>
            </w:pPr>
          </w:p>
        </w:tc>
      </w:tr>
      <w:tr w14:paraId="2F99C7C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689" w:hRule="exact"/>
          <w:jc w:val="center"/>
        </w:trPr>
        <w:tc>
          <w:tcPr>
            <w:tcW w:w="2303" w:type="dxa"/>
            <w:vMerge w:val="continue"/>
            <w:tcBorders>
              <w:right w:val="single" w:color="auto" w:sz="4" w:space="0"/>
            </w:tcBorders>
            <w:shd w:val="clear" w:color="auto" w:fill="auto"/>
            <w:noWrap w:val="0"/>
            <w:vAlign w:val="center"/>
          </w:tcPr>
          <w:p w14:paraId="49018729">
            <w:pPr>
              <w:spacing w:line="0" w:lineRule="atLeast"/>
              <w:jc w:val="center"/>
              <w:rPr>
                <w:rFonts w:hint="eastAsia" w:ascii="仿宋" w:hAnsi="仿宋" w:eastAsia="仿宋" w:cs="仿宋"/>
                <w:sz w:val="24"/>
                <w:szCs w:val="24"/>
              </w:rPr>
            </w:pPr>
          </w:p>
        </w:tc>
        <w:tc>
          <w:tcPr>
            <w:tcW w:w="3195" w:type="dxa"/>
            <w:tcBorders>
              <w:top w:val="single" w:color="auto" w:sz="4" w:space="0"/>
              <w:bottom w:val="single" w:color="auto" w:sz="4" w:space="0"/>
            </w:tcBorders>
            <w:shd w:val="clear" w:color="auto" w:fill="auto"/>
            <w:noWrap w:val="0"/>
            <w:vAlign w:val="center"/>
          </w:tcPr>
          <w:p w14:paraId="1CDEA2C8">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高维数据分析</w:t>
            </w:r>
          </w:p>
        </w:tc>
        <w:tc>
          <w:tcPr>
            <w:tcW w:w="1220" w:type="dxa"/>
            <w:tcBorders>
              <w:top w:val="single" w:color="auto" w:sz="4" w:space="0"/>
              <w:bottom w:val="single" w:color="auto" w:sz="4" w:space="0"/>
            </w:tcBorders>
            <w:shd w:val="clear" w:color="auto" w:fill="auto"/>
            <w:noWrap w:val="0"/>
            <w:vAlign w:val="center"/>
          </w:tcPr>
          <w:p w14:paraId="0CF456AC">
            <w:pPr>
              <w:spacing w:line="3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600" w:type="dxa"/>
            <w:vMerge w:val="continue"/>
            <w:shd w:val="clear" w:color="auto" w:fill="auto"/>
            <w:noWrap w:val="0"/>
            <w:vAlign w:val="center"/>
          </w:tcPr>
          <w:p w14:paraId="1BC7A082">
            <w:pPr>
              <w:spacing w:line="360" w:lineRule="exact"/>
              <w:jc w:val="center"/>
              <w:rPr>
                <w:rFonts w:hint="eastAsia" w:ascii="仿宋" w:hAnsi="仿宋" w:eastAsia="仿宋" w:cs="仿宋"/>
                <w:sz w:val="24"/>
                <w:szCs w:val="24"/>
              </w:rPr>
            </w:pPr>
          </w:p>
        </w:tc>
      </w:tr>
      <w:tr w14:paraId="30AFCB3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25" w:hRule="exact"/>
          <w:jc w:val="center"/>
        </w:trPr>
        <w:tc>
          <w:tcPr>
            <w:tcW w:w="2303" w:type="dxa"/>
            <w:vMerge w:val="continue"/>
            <w:tcBorders>
              <w:right w:val="single" w:color="auto" w:sz="4" w:space="0"/>
            </w:tcBorders>
            <w:shd w:val="clear" w:color="auto" w:fill="auto"/>
            <w:noWrap w:val="0"/>
            <w:vAlign w:val="center"/>
          </w:tcPr>
          <w:p w14:paraId="0DE3171C">
            <w:pPr>
              <w:spacing w:line="0" w:lineRule="atLeast"/>
              <w:jc w:val="center"/>
              <w:rPr>
                <w:rFonts w:hint="eastAsia" w:ascii="仿宋" w:hAnsi="仿宋" w:eastAsia="仿宋" w:cs="仿宋"/>
                <w:sz w:val="24"/>
                <w:szCs w:val="24"/>
              </w:rPr>
            </w:pPr>
          </w:p>
        </w:tc>
        <w:tc>
          <w:tcPr>
            <w:tcW w:w="3195" w:type="dxa"/>
            <w:tcBorders>
              <w:top w:val="single" w:color="auto" w:sz="4" w:space="0"/>
              <w:bottom w:val="single" w:color="auto" w:sz="4" w:space="0"/>
            </w:tcBorders>
            <w:shd w:val="clear" w:color="auto" w:fill="auto"/>
            <w:noWrap w:val="0"/>
            <w:vAlign w:val="center"/>
          </w:tcPr>
          <w:p w14:paraId="04AFA165">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非参数统计学</w:t>
            </w:r>
          </w:p>
        </w:tc>
        <w:tc>
          <w:tcPr>
            <w:tcW w:w="1220" w:type="dxa"/>
            <w:tcBorders>
              <w:top w:val="single" w:color="auto" w:sz="4" w:space="0"/>
              <w:bottom w:val="single" w:color="auto" w:sz="4" w:space="0"/>
            </w:tcBorders>
            <w:shd w:val="clear" w:color="auto" w:fill="auto"/>
            <w:noWrap w:val="0"/>
            <w:vAlign w:val="center"/>
          </w:tcPr>
          <w:p w14:paraId="2667D3CB">
            <w:pPr>
              <w:spacing w:line="3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600" w:type="dxa"/>
            <w:vMerge w:val="continue"/>
            <w:shd w:val="clear" w:color="auto" w:fill="auto"/>
            <w:noWrap w:val="0"/>
            <w:vAlign w:val="center"/>
          </w:tcPr>
          <w:p w14:paraId="6A337EAB">
            <w:pPr>
              <w:spacing w:line="360" w:lineRule="exact"/>
              <w:jc w:val="center"/>
              <w:rPr>
                <w:rFonts w:hint="eastAsia" w:ascii="仿宋" w:hAnsi="仿宋" w:eastAsia="仿宋" w:cs="仿宋"/>
                <w:sz w:val="24"/>
                <w:szCs w:val="24"/>
              </w:rPr>
            </w:pPr>
          </w:p>
        </w:tc>
      </w:tr>
      <w:tr w14:paraId="22DBA3A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540" w:hRule="exact"/>
          <w:jc w:val="center"/>
        </w:trPr>
        <w:tc>
          <w:tcPr>
            <w:tcW w:w="2303" w:type="dxa"/>
            <w:vMerge w:val="continue"/>
            <w:tcBorders>
              <w:right w:val="single" w:color="auto" w:sz="4" w:space="0"/>
            </w:tcBorders>
            <w:shd w:val="clear" w:color="auto" w:fill="auto"/>
            <w:noWrap w:val="0"/>
            <w:vAlign w:val="center"/>
          </w:tcPr>
          <w:p w14:paraId="5D783CAB">
            <w:pPr>
              <w:spacing w:line="0" w:lineRule="atLeast"/>
              <w:jc w:val="center"/>
              <w:rPr>
                <w:rFonts w:hint="eastAsia" w:ascii="仿宋" w:hAnsi="仿宋" w:eastAsia="仿宋" w:cs="仿宋"/>
                <w:sz w:val="24"/>
                <w:szCs w:val="24"/>
              </w:rPr>
            </w:pPr>
          </w:p>
        </w:tc>
        <w:tc>
          <w:tcPr>
            <w:tcW w:w="3195" w:type="dxa"/>
            <w:tcBorders>
              <w:top w:val="single" w:color="auto" w:sz="4" w:space="0"/>
              <w:bottom w:val="single" w:color="auto" w:sz="4" w:space="0"/>
            </w:tcBorders>
            <w:shd w:val="clear" w:color="auto" w:fill="auto"/>
            <w:noWrap w:val="0"/>
            <w:vAlign w:val="center"/>
          </w:tcPr>
          <w:p w14:paraId="466312DE">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高等统计学</w:t>
            </w:r>
          </w:p>
        </w:tc>
        <w:tc>
          <w:tcPr>
            <w:tcW w:w="1220" w:type="dxa"/>
            <w:tcBorders>
              <w:top w:val="single" w:color="auto" w:sz="4" w:space="0"/>
              <w:bottom w:val="single" w:color="auto" w:sz="4" w:space="0"/>
            </w:tcBorders>
            <w:shd w:val="clear" w:color="auto" w:fill="auto"/>
            <w:noWrap w:val="0"/>
            <w:vAlign w:val="center"/>
          </w:tcPr>
          <w:p w14:paraId="0E5080CB">
            <w:pPr>
              <w:spacing w:line="3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600" w:type="dxa"/>
            <w:vMerge w:val="continue"/>
            <w:shd w:val="clear" w:color="auto" w:fill="auto"/>
            <w:noWrap w:val="0"/>
            <w:vAlign w:val="center"/>
          </w:tcPr>
          <w:p w14:paraId="42326E12">
            <w:pPr>
              <w:spacing w:line="360" w:lineRule="exact"/>
              <w:jc w:val="center"/>
              <w:rPr>
                <w:rFonts w:hint="eastAsia" w:ascii="仿宋" w:hAnsi="仿宋" w:eastAsia="仿宋" w:cs="仿宋"/>
                <w:sz w:val="24"/>
                <w:szCs w:val="24"/>
              </w:rPr>
            </w:pPr>
          </w:p>
        </w:tc>
      </w:tr>
      <w:tr w14:paraId="671B7D4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7" w:hRule="exact"/>
          <w:jc w:val="center"/>
        </w:trPr>
        <w:tc>
          <w:tcPr>
            <w:tcW w:w="2303" w:type="dxa"/>
            <w:vMerge w:val="continue"/>
            <w:tcBorders>
              <w:right w:val="single" w:color="auto" w:sz="4" w:space="0"/>
            </w:tcBorders>
            <w:noWrap w:val="0"/>
            <w:vAlign w:val="center"/>
          </w:tcPr>
          <w:p w14:paraId="123381E2">
            <w:pPr>
              <w:spacing w:line="360" w:lineRule="exact"/>
              <w:jc w:val="center"/>
              <w:rPr>
                <w:rFonts w:hint="eastAsia" w:ascii="仿宋" w:hAnsi="仿宋" w:eastAsia="仿宋" w:cs="仿宋"/>
                <w:sz w:val="24"/>
                <w:szCs w:val="24"/>
                <w:lang w:val="en-US" w:eastAsia="zh-CN"/>
              </w:rPr>
            </w:pPr>
          </w:p>
        </w:tc>
        <w:tc>
          <w:tcPr>
            <w:tcW w:w="3195" w:type="dxa"/>
            <w:noWrap w:val="0"/>
            <w:vAlign w:val="center"/>
          </w:tcPr>
          <w:p w14:paraId="4B180049">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数理统计前沿问题研究</w:t>
            </w:r>
          </w:p>
        </w:tc>
        <w:tc>
          <w:tcPr>
            <w:tcW w:w="1220" w:type="dxa"/>
            <w:noWrap w:val="0"/>
            <w:vAlign w:val="center"/>
          </w:tcPr>
          <w:p w14:paraId="0AD8CB17">
            <w:pPr>
              <w:spacing w:line="3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600" w:type="dxa"/>
            <w:vMerge w:val="continue"/>
            <w:noWrap w:val="0"/>
            <w:vAlign w:val="center"/>
          </w:tcPr>
          <w:p w14:paraId="43CA6A88">
            <w:pPr>
              <w:spacing w:line="360" w:lineRule="exact"/>
              <w:jc w:val="center"/>
              <w:rPr>
                <w:rFonts w:hint="eastAsia" w:ascii="仿宋" w:hAnsi="仿宋" w:eastAsia="仿宋" w:cs="仿宋"/>
                <w:sz w:val="24"/>
                <w:szCs w:val="24"/>
              </w:rPr>
            </w:pPr>
          </w:p>
        </w:tc>
      </w:tr>
      <w:tr w14:paraId="53F67BC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540" w:hRule="exact"/>
          <w:jc w:val="center"/>
        </w:trPr>
        <w:tc>
          <w:tcPr>
            <w:tcW w:w="2303" w:type="dxa"/>
            <w:vMerge w:val="continue"/>
            <w:tcBorders>
              <w:right w:val="single" w:color="auto" w:sz="4" w:space="0"/>
            </w:tcBorders>
            <w:noWrap w:val="0"/>
            <w:vAlign w:val="center"/>
          </w:tcPr>
          <w:p w14:paraId="06E9F5C5">
            <w:pPr>
              <w:spacing w:line="360" w:lineRule="exact"/>
              <w:ind w:firstLine="720" w:firstLineChars="300"/>
              <w:jc w:val="center"/>
              <w:rPr>
                <w:rFonts w:hint="eastAsia" w:ascii="仿宋" w:hAnsi="仿宋" w:eastAsia="仿宋" w:cs="仿宋"/>
                <w:sz w:val="24"/>
                <w:szCs w:val="24"/>
                <w:lang w:val="en-US" w:eastAsia="zh-CN"/>
              </w:rPr>
            </w:pPr>
          </w:p>
        </w:tc>
        <w:tc>
          <w:tcPr>
            <w:tcW w:w="3195" w:type="dxa"/>
            <w:tcBorders>
              <w:bottom w:val="single" w:color="auto" w:sz="4" w:space="0"/>
            </w:tcBorders>
            <w:noWrap w:val="0"/>
            <w:vAlign w:val="center"/>
          </w:tcPr>
          <w:p w14:paraId="594EA797">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统计软件与应用</w:t>
            </w:r>
          </w:p>
        </w:tc>
        <w:tc>
          <w:tcPr>
            <w:tcW w:w="1220" w:type="dxa"/>
            <w:noWrap w:val="0"/>
            <w:vAlign w:val="center"/>
          </w:tcPr>
          <w:p w14:paraId="785BC740">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1600" w:type="dxa"/>
            <w:vMerge w:val="continue"/>
            <w:noWrap w:val="0"/>
            <w:vAlign w:val="center"/>
          </w:tcPr>
          <w:p w14:paraId="41548040">
            <w:pPr>
              <w:spacing w:line="360" w:lineRule="exact"/>
              <w:jc w:val="center"/>
              <w:rPr>
                <w:rFonts w:hint="eastAsia" w:ascii="仿宋" w:hAnsi="仿宋" w:eastAsia="仿宋" w:cs="仿宋"/>
                <w:sz w:val="24"/>
                <w:szCs w:val="24"/>
              </w:rPr>
            </w:pPr>
          </w:p>
        </w:tc>
      </w:tr>
      <w:tr w14:paraId="526BF65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39" w:hRule="exact"/>
          <w:jc w:val="center"/>
        </w:trPr>
        <w:tc>
          <w:tcPr>
            <w:tcW w:w="2303" w:type="dxa"/>
            <w:vMerge w:val="continue"/>
            <w:tcBorders>
              <w:right w:val="single" w:color="auto" w:sz="4" w:space="0"/>
            </w:tcBorders>
            <w:noWrap w:val="0"/>
            <w:vAlign w:val="center"/>
          </w:tcPr>
          <w:p w14:paraId="10CB2A5C">
            <w:pPr>
              <w:spacing w:line="0" w:lineRule="atLeast"/>
              <w:jc w:val="center"/>
              <w:rPr>
                <w:rFonts w:hint="eastAsia" w:ascii="仿宋" w:hAnsi="仿宋" w:eastAsia="仿宋" w:cs="仿宋"/>
                <w:sz w:val="24"/>
                <w:szCs w:val="24"/>
              </w:rPr>
            </w:pPr>
          </w:p>
        </w:tc>
        <w:tc>
          <w:tcPr>
            <w:tcW w:w="3195" w:type="dxa"/>
            <w:tcBorders>
              <w:top w:val="single" w:color="auto" w:sz="4" w:space="0"/>
              <w:bottom w:val="single" w:color="auto" w:sz="4" w:space="0"/>
            </w:tcBorders>
            <w:noWrap w:val="0"/>
            <w:vAlign w:val="center"/>
          </w:tcPr>
          <w:p w14:paraId="16732E63">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宏观经济统计分析</w:t>
            </w:r>
          </w:p>
        </w:tc>
        <w:tc>
          <w:tcPr>
            <w:tcW w:w="1220" w:type="dxa"/>
            <w:noWrap w:val="0"/>
            <w:vAlign w:val="center"/>
          </w:tcPr>
          <w:p w14:paraId="60B86D35">
            <w:pPr>
              <w:spacing w:line="360" w:lineRule="exact"/>
              <w:jc w:val="center"/>
              <w:rPr>
                <w:rFonts w:hint="eastAsia" w:ascii="仿宋" w:hAnsi="仿宋" w:eastAsia="仿宋" w:cs="仿宋"/>
                <w:sz w:val="24"/>
                <w:szCs w:val="24"/>
              </w:rPr>
            </w:pPr>
            <w:r>
              <w:rPr>
                <w:rFonts w:hint="eastAsia" w:ascii="仿宋" w:hAnsi="仿宋" w:eastAsia="仿宋" w:cs="仿宋"/>
                <w:sz w:val="24"/>
                <w:szCs w:val="24"/>
              </w:rPr>
              <w:t>2</w:t>
            </w:r>
          </w:p>
        </w:tc>
        <w:tc>
          <w:tcPr>
            <w:tcW w:w="1600" w:type="dxa"/>
            <w:vMerge w:val="continue"/>
            <w:noWrap w:val="0"/>
            <w:vAlign w:val="center"/>
          </w:tcPr>
          <w:p w14:paraId="7E7F296D">
            <w:pPr>
              <w:spacing w:line="360" w:lineRule="exact"/>
              <w:jc w:val="center"/>
              <w:rPr>
                <w:rFonts w:hint="eastAsia" w:ascii="仿宋" w:hAnsi="仿宋" w:eastAsia="仿宋" w:cs="仿宋"/>
                <w:sz w:val="24"/>
                <w:szCs w:val="24"/>
              </w:rPr>
            </w:pPr>
          </w:p>
        </w:tc>
      </w:tr>
      <w:tr w14:paraId="1463BDA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39" w:hRule="exact"/>
          <w:jc w:val="center"/>
        </w:trPr>
        <w:tc>
          <w:tcPr>
            <w:tcW w:w="2303" w:type="dxa"/>
            <w:vMerge w:val="continue"/>
            <w:tcBorders>
              <w:right w:val="single" w:color="auto" w:sz="4" w:space="0"/>
            </w:tcBorders>
            <w:noWrap w:val="0"/>
            <w:vAlign w:val="center"/>
          </w:tcPr>
          <w:p w14:paraId="0C38D637">
            <w:pPr>
              <w:spacing w:line="0" w:lineRule="atLeast"/>
              <w:jc w:val="center"/>
              <w:rPr>
                <w:rFonts w:hint="eastAsia" w:ascii="仿宋" w:hAnsi="仿宋" w:eastAsia="仿宋" w:cs="仿宋"/>
                <w:sz w:val="24"/>
                <w:szCs w:val="24"/>
              </w:rPr>
            </w:pPr>
          </w:p>
        </w:tc>
        <w:tc>
          <w:tcPr>
            <w:tcW w:w="3195" w:type="dxa"/>
            <w:tcBorders>
              <w:top w:val="single" w:color="auto" w:sz="4" w:space="0"/>
              <w:bottom w:val="single" w:color="auto" w:sz="4" w:space="0"/>
            </w:tcBorders>
            <w:noWrap w:val="0"/>
            <w:vAlign w:val="center"/>
          </w:tcPr>
          <w:p w14:paraId="06385F8A">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社会科学研究方法</w:t>
            </w:r>
          </w:p>
        </w:tc>
        <w:tc>
          <w:tcPr>
            <w:tcW w:w="1220" w:type="dxa"/>
            <w:noWrap w:val="0"/>
            <w:vAlign w:val="center"/>
          </w:tcPr>
          <w:p w14:paraId="379C6DC4">
            <w:pPr>
              <w:spacing w:line="3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600" w:type="dxa"/>
            <w:vMerge w:val="continue"/>
            <w:noWrap w:val="0"/>
            <w:vAlign w:val="center"/>
          </w:tcPr>
          <w:p w14:paraId="31529286">
            <w:pPr>
              <w:spacing w:line="360" w:lineRule="exact"/>
              <w:jc w:val="center"/>
              <w:rPr>
                <w:rFonts w:hint="eastAsia" w:ascii="仿宋" w:hAnsi="仿宋" w:eastAsia="仿宋" w:cs="仿宋"/>
                <w:sz w:val="24"/>
                <w:szCs w:val="24"/>
              </w:rPr>
            </w:pPr>
          </w:p>
        </w:tc>
      </w:tr>
      <w:tr w14:paraId="4472B5C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39" w:hRule="exact"/>
          <w:jc w:val="center"/>
        </w:trPr>
        <w:tc>
          <w:tcPr>
            <w:tcW w:w="2303" w:type="dxa"/>
            <w:vMerge w:val="continue"/>
            <w:tcBorders>
              <w:right w:val="single" w:color="auto" w:sz="4" w:space="0"/>
            </w:tcBorders>
            <w:noWrap w:val="0"/>
            <w:vAlign w:val="center"/>
          </w:tcPr>
          <w:p w14:paraId="5426044C">
            <w:pPr>
              <w:spacing w:line="0" w:lineRule="atLeast"/>
              <w:jc w:val="center"/>
              <w:rPr>
                <w:rFonts w:hint="eastAsia" w:ascii="仿宋" w:hAnsi="仿宋" w:eastAsia="仿宋" w:cs="仿宋"/>
                <w:sz w:val="24"/>
                <w:szCs w:val="24"/>
              </w:rPr>
            </w:pPr>
          </w:p>
        </w:tc>
        <w:tc>
          <w:tcPr>
            <w:tcW w:w="3195" w:type="dxa"/>
            <w:tcBorders>
              <w:top w:val="single" w:color="auto" w:sz="4" w:space="0"/>
              <w:bottom w:val="single" w:color="auto" w:sz="4" w:space="0"/>
            </w:tcBorders>
            <w:noWrap w:val="0"/>
            <w:vAlign w:val="center"/>
          </w:tcPr>
          <w:p w14:paraId="670E8D8C">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统计指数理论与实践</w:t>
            </w:r>
          </w:p>
        </w:tc>
        <w:tc>
          <w:tcPr>
            <w:tcW w:w="1220" w:type="dxa"/>
            <w:noWrap w:val="0"/>
            <w:vAlign w:val="center"/>
          </w:tcPr>
          <w:p w14:paraId="64013A53">
            <w:pPr>
              <w:spacing w:line="3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600" w:type="dxa"/>
            <w:vMerge w:val="continue"/>
            <w:noWrap w:val="0"/>
            <w:vAlign w:val="center"/>
          </w:tcPr>
          <w:p w14:paraId="24A0AF36">
            <w:pPr>
              <w:spacing w:line="360" w:lineRule="exact"/>
              <w:jc w:val="center"/>
              <w:rPr>
                <w:rFonts w:hint="eastAsia" w:ascii="仿宋" w:hAnsi="仿宋" w:eastAsia="仿宋" w:cs="仿宋"/>
                <w:sz w:val="24"/>
                <w:szCs w:val="24"/>
              </w:rPr>
            </w:pPr>
          </w:p>
        </w:tc>
      </w:tr>
      <w:tr w14:paraId="7B3FB84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506" w:hRule="exact"/>
          <w:jc w:val="center"/>
        </w:trPr>
        <w:tc>
          <w:tcPr>
            <w:tcW w:w="2303" w:type="dxa"/>
            <w:vMerge w:val="continue"/>
            <w:tcBorders>
              <w:right w:val="single" w:color="auto" w:sz="4" w:space="0"/>
            </w:tcBorders>
            <w:noWrap w:val="0"/>
            <w:vAlign w:val="center"/>
          </w:tcPr>
          <w:p w14:paraId="6DF77C51">
            <w:pPr>
              <w:spacing w:line="0" w:lineRule="atLeast"/>
              <w:jc w:val="center"/>
              <w:rPr>
                <w:rFonts w:hint="eastAsia" w:ascii="仿宋" w:hAnsi="仿宋" w:eastAsia="仿宋" w:cs="仿宋"/>
                <w:sz w:val="24"/>
                <w:szCs w:val="24"/>
              </w:rPr>
            </w:pPr>
          </w:p>
        </w:tc>
        <w:tc>
          <w:tcPr>
            <w:tcW w:w="3195" w:type="dxa"/>
            <w:tcBorders>
              <w:top w:val="single" w:color="auto" w:sz="4" w:space="0"/>
              <w:bottom w:val="single" w:color="auto" w:sz="4" w:space="0"/>
            </w:tcBorders>
            <w:noWrap w:val="0"/>
            <w:vAlign w:val="center"/>
          </w:tcPr>
          <w:p w14:paraId="3F1B6A9A">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时间序列分析</w:t>
            </w:r>
          </w:p>
        </w:tc>
        <w:tc>
          <w:tcPr>
            <w:tcW w:w="1220" w:type="dxa"/>
            <w:tcBorders>
              <w:bottom w:val="single" w:color="auto" w:sz="4" w:space="0"/>
            </w:tcBorders>
            <w:noWrap w:val="0"/>
            <w:vAlign w:val="center"/>
          </w:tcPr>
          <w:p w14:paraId="065BFCBC">
            <w:pPr>
              <w:spacing w:line="360" w:lineRule="exact"/>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600" w:type="dxa"/>
            <w:vMerge w:val="continue"/>
            <w:noWrap w:val="0"/>
            <w:vAlign w:val="center"/>
          </w:tcPr>
          <w:p w14:paraId="07C2DECA">
            <w:pPr>
              <w:spacing w:line="360" w:lineRule="exact"/>
              <w:jc w:val="center"/>
              <w:rPr>
                <w:rFonts w:hint="eastAsia" w:ascii="仿宋" w:hAnsi="仿宋" w:eastAsia="仿宋" w:cs="仿宋"/>
                <w:sz w:val="24"/>
                <w:szCs w:val="24"/>
              </w:rPr>
            </w:pPr>
          </w:p>
        </w:tc>
      </w:tr>
    </w:tbl>
    <w:p w14:paraId="5363918C">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b w:val="0"/>
          <w:sz w:val="24"/>
          <w:szCs w:val="24"/>
          <w:lang w:eastAsia="zh-CN"/>
        </w:rPr>
      </w:pPr>
      <w:r>
        <w:rPr>
          <w:rFonts w:hint="eastAsia" w:ascii="仿宋" w:hAnsi="仿宋" w:eastAsia="仿宋" w:cs="仿宋"/>
          <w:b w:val="0"/>
          <w:sz w:val="24"/>
          <w:szCs w:val="24"/>
        </w:rPr>
        <w:t>课程设置以我校本专业现行硕士研</w:t>
      </w:r>
      <w:r>
        <w:rPr>
          <w:rFonts w:hint="eastAsia" w:ascii="仿宋" w:hAnsi="仿宋" w:eastAsia="仿宋" w:cs="仿宋"/>
          <w:b w:val="0"/>
          <w:sz w:val="24"/>
          <w:szCs w:val="24"/>
          <w:lang w:val="en-US" w:eastAsia="zh-CN"/>
        </w:rPr>
        <w:t>究</w:t>
      </w:r>
      <w:r>
        <w:rPr>
          <w:rFonts w:hint="eastAsia" w:ascii="仿宋" w:hAnsi="仿宋" w:eastAsia="仿宋" w:cs="仿宋"/>
          <w:b w:val="0"/>
          <w:sz w:val="24"/>
          <w:szCs w:val="24"/>
        </w:rPr>
        <w:t>生培养方</w:t>
      </w:r>
      <w:r>
        <w:rPr>
          <w:rFonts w:hint="eastAsia" w:ascii="仿宋" w:hAnsi="仿宋" w:eastAsia="仿宋" w:cs="仿宋"/>
          <w:b w:val="0"/>
          <w:sz w:val="24"/>
          <w:szCs w:val="24"/>
          <w:lang w:val="en-US" w:eastAsia="zh-CN"/>
        </w:rPr>
        <w:t>案</w:t>
      </w:r>
      <w:r>
        <w:rPr>
          <w:rFonts w:hint="eastAsia" w:ascii="仿宋" w:hAnsi="仿宋" w:eastAsia="仿宋" w:cs="仿宋"/>
          <w:b w:val="0"/>
          <w:sz w:val="24"/>
          <w:szCs w:val="24"/>
        </w:rPr>
        <w:t>为基本依据。有公共课、</w:t>
      </w:r>
      <w:r>
        <w:rPr>
          <w:rFonts w:hint="eastAsia" w:ascii="仿宋" w:hAnsi="仿宋" w:eastAsia="仿宋" w:cs="仿宋"/>
          <w:b w:val="0"/>
          <w:sz w:val="24"/>
          <w:szCs w:val="24"/>
          <w:lang w:val="en-US" w:eastAsia="zh-CN"/>
        </w:rPr>
        <w:t>必修</w:t>
      </w:r>
      <w:r>
        <w:rPr>
          <w:rFonts w:hint="eastAsia" w:ascii="仿宋" w:hAnsi="仿宋" w:eastAsia="仿宋" w:cs="仿宋"/>
          <w:b w:val="0"/>
          <w:sz w:val="24"/>
          <w:szCs w:val="24"/>
        </w:rPr>
        <w:t>课、选修课三大类,总计共修</w:t>
      </w:r>
      <w:r>
        <w:rPr>
          <w:rFonts w:hint="eastAsia" w:ascii="仿宋" w:hAnsi="仿宋" w:eastAsia="仿宋" w:cs="仿宋"/>
          <w:b w:val="0"/>
          <w:sz w:val="24"/>
          <w:szCs w:val="24"/>
          <w:lang w:val="en-US" w:eastAsia="zh-CN"/>
        </w:rPr>
        <w:t>14</w:t>
      </w:r>
      <w:r>
        <w:rPr>
          <w:rFonts w:hint="eastAsia" w:ascii="仿宋" w:hAnsi="仿宋" w:eastAsia="仿宋" w:cs="仿宋"/>
          <w:b w:val="0"/>
          <w:sz w:val="24"/>
          <w:szCs w:val="24"/>
        </w:rPr>
        <w:t>门课,总学分数为3</w:t>
      </w:r>
      <w:r>
        <w:rPr>
          <w:rFonts w:hint="eastAsia" w:ascii="仿宋" w:hAnsi="仿宋" w:eastAsia="仿宋" w:cs="仿宋"/>
          <w:b w:val="0"/>
          <w:sz w:val="24"/>
          <w:szCs w:val="24"/>
          <w:lang w:val="en-US" w:eastAsia="zh-CN"/>
        </w:rPr>
        <w:t>6</w:t>
      </w:r>
      <w:r>
        <w:rPr>
          <w:rFonts w:hint="eastAsia" w:ascii="仿宋" w:hAnsi="仿宋" w:eastAsia="仿宋" w:cs="仿宋"/>
          <w:b w:val="0"/>
          <w:sz w:val="24"/>
          <w:szCs w:val="24"/>
        </w:rPr>
        <w:t>个学分</w:t>
      </w:r>
      <w:r>
        <w:rPr>
          <w:rFonts w:hint="eastAsia" w:ascii="仿宋" w:hAnsi="仿宋" w:eastAsia="仿宋" w:cs="仿宋"/>
          <w:b w:val="0"/>
          <w:sz w:val="24"/>
          <w:szCs w:val="24"/>
          <w:lang w:eastAsia="zh-CN"/>
        </w:rPr>
        <w:t>。所有课程均有教学经验丰富，学术水平高的副教授以上职称的教师或博士主讲。</w:t>
      </w:r>
    </w:p>
    <w:p w14:paraId="2A322EFD">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left="360" w:leftChars="0" w:firstLine="0" w:firstLineChars="0"/>
        <w:textAlignment w:val="auto"/>
        <w:rPr>
          <w:rFonts w:hint="eastAsia" w:ascii="仿宋" w:hAnsi="仿宋" w:eastAsia="仿宋" w:cs="仿宋"/>
          <w:b/>
          <w:bCs/>
          <w:sz w:val="24"/>
          <w:szCs w:val="24"/>
          <w:lang w:eastAsia="zh-CN"/>
        </w:rPr>
      </w:pPr>
      <w:r>
        <w:rPr>
          <w:rFonts w:hint="eastAsia" w:ascii="仿宋" w:hAnsi="仿宋" w:eastAsia="仿宋" w:cs="仿宋"/>
          <w:b/>
          <w:bCs/>
          <w:sz w:val="24"/>
          <w:szCs w:val="24"/>
          <w:lang w:eastAsia="zh-CN"/>
        </w:rPr>
        <w:t>其他事项</w:t>
      </w:r>
    </w:p>
    <w:p w14:paraId="1B06643B">
      <w:pPr>
        <w:keepNext w:val="0"/>
        <w:keepLines w:val="0"/>
        <w:pageBreakBefore w:val="0"/>
        <w:widowControl w:val="0"/>
        <w:numPr>
          <w:ilvl w:val="0"/>
          <w:numId w:val="4"/>
        </w:numPr>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申请人提交的学历证书，学位证书。论文等必须真实有效，否则不能申请硕士学位。若因证书不真实造成后果，一切责任由本人自负。</w:t>
      </w:r>
    </w:p>
    <w:p w14:paraId="4110B437">
      <w:pPr>
        <w:keepNext w:val="0"/>
        <w:keepLines w:val="0"/>
        <w:pageBreakBefore w:val="0"/>
        <w:widowControl w:val="0"/>
        <w:numPr>
          <w:ilvl w:val="0"/>
          <w:numId w:val="4"/>
        </w:numPr>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申请人因个人原因中止学习，所交费用不予退还。</w:t>
      </w:r>
    </w:p>
    <w:p w14:paraId="50705130">
      <w:pPr>
        <w:keepNext w:val="0"/>
        <w:keepLines w:val="0"/>
        <w:pageBreakBefore w:val="0"/>
        <w:widowControl w:val="0"/>
        <w:numPr>
          <w:ilvl w:val="0"/>
          <w:numId w:val="4"/>
        </w:numPr>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参加国家考试费用，学习期间的书籍资料费、学位论文打印费、到校听课、参加考试、论文答辩的差旅、食宿等各项费用自理</w:t>
      </w:r>
    </w:p>
    <w:p w14:paraId="730FB1CD">
      <w:pPr>
        <w:keepNext w:val="0"/>
        <w:keepLines w:val="0"/>
        <w:pageBreakBefore w:val="0"/>
        <w:widowControl w:val="0"/>
        <w:numPr>
          <w:ilvl w:val="0"/>
          <w:numId w:val="4"/>
        </w:numPr>
        <w:kinsoku/>
        <w:wordWrap/>
        <w:overflowPunct/>
        <w:topLinePunct w:val="0"/>
        <w:autoSpaceDE/>
        <w:autoSpaceDN/>
        <w:bidi w:val="0"/>
        <w:adjustRightInd/>
        <w:snapToGrid/>
        <w:spacing w:line="48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所有教学、考试规定都以江西财经大学研究生院相关政策为准</w:t>
      </w:r>
    </w:p>
    <w:p w14:paraId="0BA2A3EB">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left="360" w:leftChars="0" w:firstLine="0" w:firstLineChars="0"/>
        <w:textAlignment w:val="auto"/>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招名流程</w:t>
      </w:r>
    </w:p>
    <w:p w14:paraId="6AE6D32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1、填写报名表。</w:t>
      </w:r>
    </w:p>
    <w:p w14:paraId="4C34133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2、交最高学历或学位证书、身份证电子版及复印件各一份。</w:t>
      </w:r>
    </w:p>
    <w:p w14:paraId="042432DF">
      <w:pPr>
        <w:keepNext w:val="0"/>
        <w:keepLines w:val="0"/>
        <w:pageBreakBefore w:val="0"/>
        <w:widowControl w:val="0"/>
        <w:kinsoku/>
        <w:wordWrap/>
        <w:overflowPunct/>
        <w:topLinePunct w:val="0"/>
        <w:autoSpaceDE/>
        <w:autoSpaceDN/>
        <w:bidi w:val="0"/>
        <w:adjustRightInd/>
        <w:snapToGrid/>
        <w:spacing w:line="480" w:lineRule="exact"/>
        <w:ind w:left="479" w:leftChars="228" w:firstLine="0" w:firstLineChars="0"/>
        <w:textAlignment w:val="auto"/>
        <w:rPr>
          <w:rFonts w:hint="eastAsia" w:ascii="仿宋" w:hAnsi="仿宋" w:eastAsia="仿宋" w:cs="仿宋"/>
          <w:sz w:val="24"/>
          <w:szCs w:val="24"/>
        </w:rPr>
      </w:pPr>
      <w:r>
        <w:rPr>
          <w:rFonts w:hint="eastAsia" w:ascii="仿宋" w:hAnsi="仿宋" w:eastAsia="仿宋" w:cs="仿宋"/>
          <w:sz w:val="24"/>
          <w:szCs w:val="24"/>
        </w:rPr>
        <w:t>3、交免冠蓝底近照</w:t>
      </w:r>
      <w:r>
        <w:rPr>
          <w:rFonts w:hint="eastAsia" w:ascii="仿宋" w:hAnsi="仿宋" w:eastAsia="仿宋" w:cs="仿宋"/>
          <w:sz w:val="24"/>
          <w:szCs w:val="24"/>
          <w:lang w:val="en-US" w:eastAsia="zh-CN"/>
        </w:rPr>
        <w:t>10</w:t>
      </w:r>
      <w:r>
        <w:rPr>
          <w:rFonts w:hint="eastAsia" w:ascii="仿宋" w:hAnsi="仿宋" w:eastAsia="仿宋" w:cs="仿宋"/>
          <w:sz w:val="24"/>
          <w:szCs w:val="24"/>
        </w:rPr>
        <w:t>张(其中</w:t>
      </w:r>
      <w:r>
        <w:rPr>
          <w:rFonts w:hint="eastAsia" w:ascii="仿宋" w:hAnsi="仿宋" w:eastAsia="仿宋" w:cs="仿宋"/>
          <w:sz w:val="24"/>
          <w:szCs w:val="24"/>
          <w:lang w:val="en-US" w:eastAsia="zh-CN"/>
        </w:rPr>
        <w:t>6</w:t>
      </w:r>
      <w:r>
        <w:rPr>
          <w:rFonts w:hint="eastAsia" w:ascii="仿宋" w:hAnsi="仿宋" w:eastAsia="仿宋" w:cs="仿宋"/>
          <w:sz w:val="24"/>
          <w:szCs w:val="24"/>
        </w:rPr>
        <w:t>张一寸、</w:t>
      </w:r>
      <w:r>
        <w:rPr>
          <w:rFonts w:hint="eastAsia" w:ascii="仿宋" w:hAnsi="仿宋" w:eastAsia="仿宋" w:cs="仿宋"/>
          <w:sz w:val="24"/>
          <w:szCs w:val="24"/>
          <w:lang w:val="en-US" w:eastAsia="zh-CN"/>
        </w:rPr>
        <w:t>4</w:t>
      </w:r>
      <w:r>
        <w:rPr>
          <w:rFonts w:hint="eastAsia" w:ascii="仿宋" w:hAnsi="仿宋" w:eastAsia="仿宋" w:cs="仿宋"/>
          <w:sz w:val="24"/>
          <w:szCs w:val="24"/>
        </w:rPr>
        <w:t>张二寸)及一寸蓝底免冠照片的电子版。</w:t>
      </w:r>
    </w:p>
    <w:p w14:paraId="60E9C6F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4、经审核合格后,学员在规定时间内来报名中心缴纳第一阶段费用并注册。</w:t>
      </w:r>
    </w:p>
    <w:p w14:paraId="0465B857">
      <w:pPr>
        <w:numPr>
          <w:ilvl w:val="0"/>
          <w:numId w:val="0"/>
        </w:numPr>
        <w:ind w:left="360" w:leftChars="0"/>
        <w:rPr>
          <w:rFonts w:hint="eastAsia" w:ascii="宋体" w:hAnsi="宋体" w:eastAsia="宋体" w:cs="宋体"/>
          <w:sz w:val="24"/>
          <w:szCs w:val="24"/>
          <w:lang w:val="en-US" w:eastAsia="zh-CN"/>
        </w:rPr>
      </w:pPr>
    </w:p>
    <w:p w14:paraId="22FD872D">
      <w:pPr>
        <w:numPr>
          <w:ilvl w:val="0"/>
          <w:numId w:val="0"/>
        </w:numPr>
        <w:ind w:left="360" w:leftChars="0"/>
        <w:rPr>
          <w:rFonts w:hint="eastAsia" w:ascii="宋体" w:hAnsi="宋体" w:eastAsia="宋体" w:cs="宋体"/>
          <w:b w:val="0"/>
          <w:sz w:val="24"/>
          <w:szCs w:val="24"/>
          <w:lang w:val="en-US" w:eastAsia="zh-CN"/>
        </w:rPr>
      </w:pPr>
    </w:p>
    <w:p w14:paraId="77BF56E3">
      <w:pPr>
        <w:rPr>
          <w:rFonts w:hint="eastAsia" w:ascii="宋体" w:hAnsi="宋体" w:eastAsia="宋体" w:cs="宋体"/>
          <w:b/>
          <w:bCs/>
          <w:sz w:val="24"/>
          <w:szCs w:val="24"/>
        </w:rPr>
      </w:pPr>
    </w:p>
    <w:sectPr>
      <w:pgSz w:w="11906" w:h="16838"/>
      <w:pgMar w:top="1440" w:right="1800" w:bottom="1440" w:left="1800" w:header="851" w:footer="992" w:gutter="0"/>
      <w:lnNumType w:countBy="0" w:restart="continuou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6F00B8"/>
    <w:multiLevelType w:val="singleLevel"/>
    <w:tmpl w:val="B56F00B8"/>
    <w:lvl w:ilvl="0" w:tentative="0">
      <w:start w:val="1"/>
      <w:numFmt w:val="decimal"/>
      <w:suff w:val="nothing"/>
      <w:lvlText w:val="%1、"/>
      <w:lvlJc w:val="left"/>
    </w:lvl>
  </w:abstractNum>
  <w:abstractNum w:abstractNumId="1">
    <w:nsid w:val="B8EA27A2"/>
    <w:multiLevelType w:val="singleLevel"/>
    <w:tmpl w:val="B8EA27A2"/>
    <w:lvl w:ilvl="0" w:tentative="0">
      <w:start w:val="3"/>
      <w:numFmt w:val="chineseCounting"/>
      <w:suff w:val="space"/>
      <w:lvlText w:val="%1、"/>
      <w:lvlJc w:val="left"/>
      <w:rPr>
        <w:rFonts w:hint="eastAsia"/>
      </w:rPr>
    </w:lvl>
  </w:abstractNum>
  <w:abstractNum w:abstractNumId="2">
    <w:nsid w:val="DF04017A"/>
    <w:multiLevelType w:val="singleLevel"/>
    <w:tmpl w:val="DF04017A"/>
    <w:lvl w:ilvl="0" w:tentative="0">
      <w:start w:val="1"/>
      <w:numFmt w:val="decimal"/>
      <w:suff w:val="nothing"/>
      <w:lvlText w:val="%1、"/>
      <w:lvlJc w:val="left"/>
    </w:lvl>
  </w:abstractNum>
  <w:abstractNum w:abstractNumId="3">
    <w:nsid w:val="F14A18CD"/>
    <w:multiLevelType w:val="singleLevel"/>
    <w:tmpl w:val="F14A18CD"/>
    <w:lvl w:ilvl="0" w:tentative="0">
      <w:start w:val="6"/>
      <w:numFmt w:val="chineseCounting"/>
      <w:suff w:val="nothing"/>
      <w:lvlText w:val="%1、"/>
      <w:lvlJc w:val="left"/>
      <w:pPr>
        <w:ind w:left="360" w:leftChars="0" w:firstLine="0" w:firstLineChars="0"/>
      </w:pPr>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3NzQzZWVkNmFmNThmMDQyYWRhYjg2ZDJmNDhiYmEifQ=="/>
  </w:docVars>
  <w:rsids>
    <w:rsidRoot w:val="00000000"/>
    <w:rsid w:val="051B3641"/>
    <w:rsid w:val="07F273C7"/>
    <w:rsid w:val="0B112327"/>
    <w:rsid w:val="12EA3ADA"/>
    <w:rsid w:val="189805DE"/>
    <w:rsid w:val="1A277D14"/>
    <w:rsid w:val="1DB76343"/>
    <w:rsid w:val="1E845F35"/>
    <w:rsid w:val="23932A21"/>
    <w:rsid w:val="26C36894"/>
    <w:rsid w:val="29707410"/>
    <w:rsid w:val="29DA56FE"/>
    <w:rsid w:val="2CAA368D"/>
    <w:rsid w:val="30955C68"/>
    <w:rsid w:val="35A40FD5"/>
    <w:rsid w:val="423565F2"/>
    <w:rsid w:val="438E68C1"/>
    <w:rsid w:val="44845A2A"/>
    <w:rsid w:val="44894D95"/>
    <w:rsid w:val="4CD733E6"/>
    <w:rsid w:val="5A023F8F"/>
    <w:rsid w:val="62984320"/>
    <w:rsid w:val="66205D8F"/>
    <w:rsid w:val="6B813E88"/>
    <w:rsid w:val="72E339B9"/>
    <w:rsid w:val="797A2A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2118</Words>
  <Characters>2137</Characters>
  <Lines>0</Lines>
  <Paragraphs>0</Paragraphs>
  <TotalTime>1</TotalTime>
  <ScaleCrop>false</ScaleCrop>
  <LinksUpToDate>false</LinksUpToDate>
  <CharactersWithSpaces>2157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人事尹老师</cp:lastModifiedBy>
  <dcterms:modified xsi:type="dcterms:W3CDTF">2025-08-20T01:45:08Z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69C6C2DADE584066A91BFBF4EEBC6743</vt:lpwstr>
  </property>
  <property fmtid="{D5CDD505-2E9C-101B-9397-08002B2CF9AE}" pid="4" name="KSOTemplateDocerSaveRecord">
    <vt:lpwstr>eyJoZGlkIjoiYjM3NzQzZWVkNmFmNThmMDQyYWRhYjg2ZDJmNDhiYmEiLCJ1c2VySWQiOiIxMjk3NjkzNDEyIn0=</vt:lpwstr>
  </property>
</Properties>
</file>