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bidi w:val="0"/>
        <w:jc w:val="center"/>
        <w:rPr>
          <w:rFonts w:hint="eastAsia"/>
          <w:b/>
          <w:bCs/>
          <w:color w:val="FF0000"/>
          <w:sz w:val="32"/>
          <w:szCs w:val="36"/>
          <w:lang w:val="en-US" w:eastAsia="zh-CN"/>
        </w:rPr>
      </w:pPr>
      <w:r>
        <w:rPr>
          <w:rFonts w:hint="eastAsia"/>
          <w:b/>
          <w:bCs/>
          <w:color w:val="FF0000"/>
          <w:sz w:val="32"/>
          <w:szCs w:val="36"/>
        </w:rPr>
        <w:t>江西财经大学工商管理学院</w:t>
      </w:r>
      <w:r>
        <w:rPr>
          <w:b/>
          <w:bCs/>
          <w:color w:val="FF0000"/>
          <w:sz w:val="32"/>
          <w:szCs w:val="36"/>
        </w:rPr>
        <w:t>企业管理</w:t>
      </w:r>
      <w:r>
        <w:rPr>
          <w:rFonts w:hint="eastAsia"/>
          <w:b/>
          <w:bCs/>
          <w:color w:val="FF0000"/>
          <w:sz w:val="32"/>
          <w:szCs w:val="36"/>
          <w:lang w:val="en-US" w:eastAsia="zh-CN"/>
        </w:rPr>
        <w:t>专业</w:t>
      </w:r>
    </w:p>
    <w:p>
      <w:pPr>
        <w:bidi w:val="0"/>
        <w:jc w:val="center"/>
        <w:rPr>
          <w:b/>
          <w:bCs/>
          <w:color w:val="FF0000"/>
          <w:sz w:val="32"/>
          <w:szCs w:val="36"/>
        </w:rPr>
      </w:pPr>
      <w:r>
        <w:rPr>
          <w:rFonts w:hint="eastAsia"/>
          <w:b/>
          <w:bCs/>
          <w:color w:val="FF0000"/>
          <w:sz w:val="32"/>
          <w:szCs w:val="36"/>
          <w:lang w:val="en-US" w:eastAsia="zh-CN"/>
        </w:rPr>
        <w:t>同等学力</w:t>
      </w:r>
      <w:r>
        <w:rPr>
          <w:rFonts w:hint="eastAsia"/>
          <w:b/>
          <w:bCs/>
          <w:color w:val="FF0000"/>
          <w:sz w:val="32"/>
          <w:szCs w:val="36"/>
        </w:rPr>
        <w:t>招生简章</w:t>
      </w:r>
    </w:p>
    <w:p>
      <w:pPr>
        <w:jc w:val="left"/>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FF0000"/>
          <w:sz w:val="24"/>
          <w:szCs w:val="24"/>
        </w:rPr>
        <mc:AlternateContent>
          <mc:Choice Requires="wps">
            <w:drawing>
              <wp:anchor distT="0" distB="0" distL="114300" distR="114300" simplePos="0" relativeHeight="251659264" behindDoc="0" locked="0" layoutInCell="1" allowOverlap="1">
                <wp:simplePos x="0" y="0"/>
                <wp:positionH relativeFrom="column">
                  <wp:posOffset>-371475</wp:posOffset>
                </wp:positionH>
                <wp:positionV relativeFrom="paragraph">
                  <wp:posOffset>80645</wp:posOffset>
                </wp:positionV>
                <wp:extent cx="6114415" cy="0"/>
                <wp:effectExtent l="0" t="0" r="0" b="0"/>
                <wp:wrapNone/>
                <wp:docPr id="3" name="自选图形 2"/>
                <wp:cNvGraphicFramePr/>
                <a:graphic xmlns:a="http://schemas.openxmlformats.org/drawingml/2006/main">
                  <a:graphicData uri="http://schemas.microsoft.com/office/word/2010/wordprocessingShape">
                    <wps:wsp>
                      <wps:cNvCnPr/>
                      <wps:spPr>
                        <a:xfrm>
                          <a:off x="0" y="0"/>
                          <a:ext cx="6114415" cy="0"/>
                        </a:xfrm>
                        <a:prstGeom prst="straightConnector1">
                          <a:avLst/>
                        </a:prstGeom>
                        <a:ln w="15875" cap="flat" cmpd="sng">
                          <a:solidFill>
                            <a:srgbClr val="FF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29.25pt;margin-top:6.35pt;height:0pt;width:481.45pt;z-index:251659264;mso-width-relative:page;mso-height-relative:page;" filled="f" stroked="t" coordsize="21600,21600" o:gfxdata="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6NdNgAAAAJAQAADwAAAAAAAAABACAAAAAiAAAAZHJzL2Rvd25yZXYueG1s&#10;UEsBAhQAFAAAAAgAh07iQKSjeX/4AQAA5AMAAA4AAAAAAAAAAQAgAAAAJwEAAGRycy9lMm9Eb2Mu&#10;eG1sUEsFBgAAAAAGAAYAWQEAAJEFAAAAAA==&#10;">
                <v:fill on="f" focussize="0,0"/>
                <v:stroke weight="1.25pt" color="#FF0000" joinstyle="round"/>
                <v:imagedata o:title=""/>
                <o:lock v:ext="edit" aspectratio="f"/>
              </v:shape>
            </w:pict>
          </mc:Fallback>
        </mc:AlternateContent>
      </w:r>
      <w:r>
        <w:rPr>
          <w:rFonts w:hint="eastAsia" w:ascii="仿宋" w:hAnsi="仿宋" w:eastAsia="仿宋"/>
          <w:b/>
          <w:color w:val="000000" w:themeColor="text1"/>
          <w:sz w:val="24"/>
          <w:szCs w:val="24"/>
          <w14:textFill>
            <w14:solidFill>
              <w14:schemeClr w14:val="tx1"/>
            </w14:solidFill>
          </w14:textFill>
        </w:rPr>
        <w:t xml:space="preserve">  </w:t>
      </w:r>
    </w:p>
    <w:p>
      <w:pPr>
        <w:spacing w:line="360" w:lineRule="exact"/>
        <w:jc w:val="left"/>
        <w:rPr>
          <w:rFonts w:ascii="仿宋" w:hAnsi="仿宋" w:eastAsia="仿宋"/>
          <w:b/>
          <w:color w:val="000000"/>
          <w:sz w:val="24"/>
          <w:szCs w:val="24"/>
        </w:rPr>
      </w:pPr>
      <w:r>
        <w:rPr>
          <w:rFonts w:hint="eastAsia" w:ascii="仿宋" w:hAnsi="仿宋" w:eastAsia="仿宋"/>
          <w:b/>
          <w:color w:val="000000" w:themeColor="text1"/>
          <w:sz w:val="24"/>
          <w:szCs w:val="24"/>
          <w14:textFill>
            <w14:solidFill>
              <w14:schemeClr w14:val="tx1"/>
            </w14:solidFill>
          </w14:textFill>
        </w:rPr>
        <w:t xml:space="preserve">    </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jc w:val="both"/>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行榜第15名，中国造富大学排行榜第16名，中国高管校友大学排行榜第30名，中国大学校友捐赠排行榜第47名，中国高校毕业生薪酬指数排行榜第71名。</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jc w:val="both"/>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t>江西财经大学工商管理学院前身为成立于1979年的工业经济系，1986年获硕士学位授权点，1998年更名为工商管理学院，2010年获一级学科博士学位授权点，2014年被评为全国教育系统先进集体，2017年通过中国高质量MBA教育认证（CAMEA），2019年获得BGA（商学院毕业生协会）和AACSB（国际精英商学院协会）正式会员资格，2021年成为亚洲管理学会（AAOM）、亚太管理学院联合会（AAPBS）会员，2022年通过BGA国际认证（中国大陆首家单独认证金牌院校）并成为EFMD（欧洲管理发展基金会）正式会员。</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jc w:val="both"/>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t>学院以“融中西管理智慧，育商界厚德英才”为使命，以“成为中华管理教育的卓越贡献者”为愿景，历经四十余年的发展，学院已形成包括学士、硕士、博士（博士后）的全层次人才培养及优势教育项目多点开花的格局，为国家培养了各类人才三万余人，并在学科专业发展、人才培养特色、师资队伍建设、就业升学、国际化办学交流等方面取得了丰硕成果与突出成绩。</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jc w:val="both"/>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t>学院拥有工商管理一级学科硕士点、博士点以及博士后流动站，设有全校首个交叉学科博士点（数字科学与管理工程）；是全国第三批、全省首家MBA培养院校，全国第二批、全省唯一的EMBA培养院校，连续四年（2019-2022）入榜中国商学院年度“最佳MBA项目TOP50”；​拥有江西省高校人文社科重点研究基地，是江西省首批“领航江西”智库成员单位；是中国大陆首家BGA单独认证金牌院校，也是全校首个（唯一）获得国际商科认证的学院。</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jc w:val="both"/>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val="0"/>
          <w:bCs/>
          <w:color w:val="000000" w:themeColor="text1"/>
          <w:kern w:val="0"/>
          <w:sz w:val="24"/>
          <w:szCs w:val="24"/>
          <w:lang w:val="en-US" w:eastAsia="zh-CN" w:bidi="ar-SA"/>
          <w14:textFill>
            <w14:solidFill>
              <w14:schemeClr w14:val="tx1"/>
            </w14:solidFill>
          </w14:textFill>
        </w:rPr>
        <w:t>工商管理一级学科在全国第四轮学科评估中获评B+等级，位列参评的全国240所高校的前20%；入选江西省一流学科、江西省重点学科。作为全国并列第20所高校，顺利通过CAMEA认证；工商管理专业硕士（MBA）在全国首次专业学位水平评估中获评B+等级，位列参评的全国194所MBA培养院校的前25%。</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560"/>
        <w:jc w:val="both"/>
        <w:rPr>
          <w:rFonts w:hint="eastAsia" w:ascii="仿宋" w:hAnsi="仿宋" w:eastAsia="仿宋" w:cs="宋体"/>
          <w:b w:val="0"/>
          <w:bCs/>
          <w:color w:val="000000"/>
          <w:kern w:val="0"/>
          <w:sz w:val="24"/>
          <w:szCs w:val="24"/>
          <w:lang w:val="en-US" w:eastAsia="zh-CN" w:bidi="ar-SA"/>
        </w:rPr>
      </w:pPr>
    </w:p>
    <w:p>
      <w:pPr>
        <w:widowControl/>
        <w:shd w:val="clear" w:color="auto" w:fill="FFFFFF"/>
        <w:spacing w:after="150" w:line="360" w:lineRule="exact"/>
        <w:ind w:firstLine="482" w:firstLineChars="200"/>
        <w:jc w:val="left"/>
        <w:rPr>
          <w:rFonts w:ascii="仿宋" w:hAnsi="仿宋" w:eastAsia="仿宋" w:cs="Helvetica"/>
          <w:b/>
          <w:bCs w:val="0"/>
          <w:color w:val="FF0000"/>
          <w:kern w:val="0"/>
          <w:sz w:val="24"/>
          <w:szCs w:val="24"/>
        </w:rPr>
      </w:pPr>
      <w:r>
        <w:rPr>
          <w:rFonts w:hint="eastAsia" w:ascii="仿宋" w:hAnsi="仿宋" w:eastAsia="仿宋" w:cs="Helvetica"/>
          <w:b/>
          <w:bCs w:val="0"/>
          <w:color w:val="FF0000"/>
          <w:kern w:val="0"/>
          <w:sz w:val="24"/>
          <w:szCs w:val="24"/>
        </w:rPr>
        <w:t>一</w:t>
      </w:r>
      <w:r>
        <w:rPr>
          <w:rFonts w:ascii="仿宋" w:hAnsi="仿宋" w:eastAsia="仿宋" w:cs="Helvetica"/>
          <w:b/>
          <w:bCs w:val="0"/>
          <w:color w:val="FF0000"/>
          <w:kern w:val="0"/>
          <w:sz w:val="24"/>
          <w:szCs w:val="24"/>
        </w:rPr>
        <w:t>、培养目标</w:t>
      </w:r>
    </w:p>
    <w:p>
      <w:pPr>
        <w:pStyle w:val="6"/>
        <w:shd w:val="clear" w:color="auto" w:fill="FFFFFF"/>
        <w:spacing w:beforeAutospacing="0" w:after="150" w:afterAutospacing="0" w:line="360" w:lineRule="auto"/>
        <w:rPr>
          <w:rFonts w:ascii="仿宋" w:hAnsi="仿宋" w:eastAsia="仿宋" w:cs="Helvetica"/>
          <w:b w:val="0"/>
          <w:bCs/>
          <w:szCs w:val="24"/>
        </w:rPr>
      </w:pPr>
      <w:r>
        <w:rPr>
          <w:rFonts w:ascii="仿宋" w:hAnsi="仿宋" w:eastAsia="仿宋" w:cs="Helvetica"/>
          <w:b w:val="0"/>
          <w:bCs/>
          <w:szCs w:val="24"/>
        </w:rPr>
        <w:t>　　依托</w:t>
      </w:r>
      <w:r>
        <w:rPr>
          <w:rFonts w:hint="eastAsia" w:ascii="仿宋" w:hAnsi="仿宋" w:eastAsia="仿宋"/>
          <w:b w:val="0"/>
          <w:bCs/>
          <w:szCs w:val="24"/>
        </w:rPr>
        <w:t>优势教育</w:t>
      </w:r>
      <w:r>
        <w:rPr>
          <w:rFonts w:ascii="仿宋" w:hAnsi="仿宋" w:eastAsia="仿宋" w:cs="Helvetica"/>
          <w:b w:val="0"/>
          <w:bCs/>
          <w:szCs w:val="24"/>
        </w:rPr>
        <w:t>体系，培养具有扎实的</w:t>
      </w:r>
      <w:r>
        <w:rPr>
          <w:rFonts w:hint="eastAsia" w:ascii="仿宋" w:hAnsi="仿宋" w:eastAsia="仿宋" w:cs="Helvetica"/>
          <w:b w:val="0"/>
          <w:bCs/>
          <w:szCs w:val="24"/>
        </w:rPr>
        <w:t>、</w:t>
      </w:r>
      <w:r>
        <w:rPr>
          <w:rFonts w:ascii="仿宋" w:hAnsi="仿宋" w:eastAsia="仿宋" w:cs="Helvetica"/>
          <w:b w:val="0"/>
          <w:bCs/>
          <w:szCs w:val="24"/>
        </w:rPr>
        <w:t>较强的企业管理能力的专业人才，着重培养企事业单位高素质中高层企业管理人才，提升领导潜质，</w:t>
      </w:r>
      <w:r>
        <w:rPr>
          <w:rFonts w:hint="eastAsia" w:ascii="仿宋" w:hAnsi="仿宋" w:eastAsia="仿宋" w:cstheme="minorBidi"/>
          <w:b w:val="0"/>
          <w:bCs/>
          <w:kern w:val="2"/>
          <w:szCs w:val="24"/>
        </w:rPr>
        <w:t>拓宽</w:t>
      </w:r>
      <w:r>
        <w:rPr>
          <w:rFonts w:hint="eastAsia" w:ascii="仿宋" w:hAnsi="仿宋" w:eastAsia="仿宋"/>
          <w:b w:val="0"/>
          <w:bCs/>
          <w:szCs w:val="24"/>
        </w:rPr>
        <w:t>管理</w:t>
      </w:r>
      <w:r>
        <w:rPr>
          <w:rFonts w:hint="eastAsia" w:ascii="仿宋" w:hAnsi="仿宋" w:eastAsia="仿宋" w:cstheme="minorBidi"/>
          <w:b w:val="0"/>
          <w:bCs/>
          <w:kern w:val="2"/>
          <w:szCs w:val="24"/>
        </w:rPr>
        <w:t>者视野，赋能新时代的企业管理者</w:t>
      </w:r>
      <w:r>
        <w:rPr>
          <w:rFonts w:ascii="仿宋" w:hAnsi="仿宋" w:eastAsia="仿宋" w:cs="Helvetica"/>
          <w:b w:val="0"/>
          <w:bCs/>
          <w:szCs w:val="24"/>
        </w:rPr>
        <w:t>。同时达到硕士研究生的理论与业务水平。</w:t>
      </w:r>
    </w:p>
    <w:p>
      <w:pPr>
        <w:widowControl/>
        <w:shd w:val="clear" w:color="auto" w:fill="FFFFFF"/>
        <w:spacing w:after="150" w:line="360" w:lineRule="exact"/>
        <w:ind w:firstLine="480"/>
        <w:jc w:val="left"/>
        <w:rPr>
          <w:rFonts w:hint="default" w:ascii="仿宋" w:hAnsi="仿宋" w:eastAsia="仿宋" w:cs="Helvetica"/>
          <w:b/>
          <w:bCs w:val="0"/>
          <w:color w:val="FF0000"/>
          <w:kern w:val="0"/>
          <w:sz w:val="24"/>
          <w:szCs w:val="24"/>
          <w:lang w:val="en-US" w:eastAsia="zh-CN"/>
        </w:rPr>
      </w:pPr>
      <w:r>
        <w:rPr>
          <w:rFonts w:ascii="仿宋" w:hAnsi="仿宋" w:eastAsia="仿宋" w:cs="Helvetica"/>
          <w:b/>
          <w:bCs w:val="0"/>
          <w:color w:val="FF0000"/>
          <w:kern w:val="0"/>
          <w:sz w:val="24"/>
          <w:szCs w:val="24"/>
        </w:rPr>
        <w:t>二、专业</w:t>
      </w:r>
      <w:r>
        <w:rPr>
          <w:rFonts w:hint="eastAsia" w:ascii="仿宋" w:hAnsi="仿宋" w:eastAsia="仿宋" w:cs="Helvetica"/>
          <w:b/>
          <w:bCs w:val="0"/>
          <w:color w:val="FF0000"/>
          <w:kern w:val="0"/>
          <w:sz w:val="24"/>
          <w:szCs w:val="24"/>
          <w:lang w:eastAsia="zh-CN"/>
        </w:rPr>
        <w:t>：</w:t>
      </w:r>
      <w:r>
        <w:rPr>
          <w:rFonts w:hint="eastAsia" w:ascii="仿宋" w:hAnsi="仿宋" w:eastAsia="仿宋" w:cs="Helvetica"/>
          <w:b/>
          <w:bCs w:val="0"/>
          <w:color w:val="FF0000"/>
          <w:kern w:val="0"/>
          <w:sz w:val="24"/>
          <w:szCs w:val="24"/>
          <w:lang w:val="en-US" w:eastAsia="zh-CN"/>
        </w:rPr>
        <w:t>企业管理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研究方向：</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管理思想与东方管理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领导力与创新管理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战略管理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品牌管理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数字化与企业转型</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营销创新与数字营销</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数字人力资源管理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公司治理与内控管理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技术创新与运营管理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市场调查与预测</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物流与供应链管理</w:t>
      </w:r>
    </w:p>
    <w:p>
      <w:pPr>
        <w:snapToGrid w:val="0"/>
        <w:spacing w:line="440" w:lineRule="atLeast"/>
        <w:ind w:firstLine="480" w:firstLineChars="200"/>
        <w:outlineLvl w:val="0"/>
        <w:rPr>
          <w:rFonts w:hint="eastAsia" w:ascii="仿宋" w:hAnsi="仿宋" w:eastAsia="仿宋" w:cs="仿宋"/>
          <w:b w:val="0"/>
          <w:bCs/>
          <w:color w:val="000000" w:themeColor="text1"/>
          <w:kern w:val="0"/>
          <w:sz w:val="24"/>
          <w:szCs w:val="24"/>
          <w14:textFill>
            <w14:solidFill>
              <w14:schemeClr w14:val="tx1"/>
            </w14:solidFill>
          </w14:textFill>
        </w:rPr>
      </w:pPr>
    </w:p>
    <w:p>
      <w:pPr>
        <w:widowControl/>
        <w:shd w:val="clear" w:color="auto" w:fill="FFFFFF"/>
        <w:spacing w:after="150" w:line="360" w:lineRule="exact"/>
        <w:ind w:firstLine="480"/>
        <w:jc w:val="left"/>
        <w:rPr>
          <w:rFonts w:ascii="仿宋" w:hAnsi="仿宋" w:eastAsia="仿宋" w:cs="Helvetica"/>
          <w:b/>
          <w:color w:val="FF0000"/>
          <w:kern w:val="0"/>
          <w:sz w:val="24"/>
          <w:szCs w:val="24"/>
        </w:rPr>
      </w:pPr>
      <w:r>
        <w:rPr>
          <w:rFonts w:hint="eastAsia" w:ascii="仿宋" w:hAnsi="仿宋" w:eastAsia="仿宋" w:cs="Helvetica"/>
          <w:b/>
          <w:color w:val="FF0000"/>
          <w:kern w:val="0"/>
          <w:sz w:val="24"/>
          <w:szCs w:val="24"/>
          <w:lang w:val="en-US" w:eastAsia="zh-CN"/>
        </w:rPr>
        <w:t>三、</w:t>
      </w:r>
      <w:r>
        <w:rPr>
          <w:rFonts w:hint="eastAsia" w:ascii="仿宋" w:hAnsi="仿宋" w:eastAsia="仿宋" w:cs="Helvetica"/>
          <w:b/>
          <w:color w:val="FF0000"/>
          <w:kern w:val="0"/>
          <w:sz w:val="24"/>
          <w:szCs w:val="24"/>
        </w:rPr>
        <w:t>课程设置</w:t>
      </w:r>
    </w:p>
    <w:tbl>
      <w:tblPr>
        <w:tblStyle w:val="7"/>
        <w:tblW w:w="4935" w:type="pct"/>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696"/>
        <w:gridCol w:w="2650"/>
        <w:gridCol w:w="2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trPr>
        <w:tc>
          <w:tcPr>
            <w:tcW w:w="324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ascii="仿宋" w:hAnsi="仿宋" w:eastAsia="仿宋" w:cs="仿宋"/>
                <w:b w:val="0"/>
                <w:bCs w:val="0"/>
                <w:i w:val="0"/>
                <w:iCs w:val="0"/>
                <w:caps w:val="0"/>
                <w:color w:val="000000"/>
                <w:spacing w:val="0"/>
                <w:sz w:val="24"/>
                <w:szCs w:val="24"/>
              </w:rPr>
              <w:t>必修课</w:t>
            </w:r>
          </w:p>
        </w:tc>
        <w:tc>
          <w:tcPr>
            <w:tcW w:w="1755" w:type="pct"/>
            <w:tcBorders>
              <w:top w:val="single" w:color="000000" w:sz="4" w:space="0"/>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选修课(任选2门)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trPr>
        <w:tc>
          <w:tcPr>
            <w:tcW w:w="1636" w:type="pct"/>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社会主义理论与实践</w:t>
            </w:r>
          </w:p>
        </w:tc>
        <w:tc>
          <w:tcPr>
            <w:tcW w:w="1608"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管理经济学</w:t>
            </w:r>
          </w:p>
        </w:tc>
        <w:tc>
          <w:tcPr>
            <w:tcW w:w="1755" w:type="pct"/>
            <w:tcBorders>
              <w:top w:val="single" w:color="auto" w:sz="4" w:space="0"/>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组织行为学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trPr>
        <w:tc>
          <w:tcPr>
            <w:tcW w:w="1636" w:type="pct"/>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英语读写</w:t>
            </w:r>
          </w:p>
        </w:tc>
        <w:tc>
          <w:tcPr>
            <w:tcW w:w="1608"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战略管理</w:t>
            </w:r>
          </w:p>
        </w:tc>
        <w:tc>
          <w:tcPr>
            <w:tcW w:w="1755"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中国管理学原理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trPr>
        <w:tc>
          <w:tcPr>
            <w:tcW w:w="1636" w:type="pct"/>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当代管理理论</w:t>
            </w:r>
          </w:p>
        </w:tc>
        <w:tc>
          <w:tcPr>
            <w:tcW w:w="1608"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人力资源管理</w:t>
            </w:r>
          </w:p>
        </w:tc>
        <w:tc>
          <w:tcPr>
            <w:tcW w:w="1755"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商业伦理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1636" w:type="pct"/>
            <w:tcBorders>
              <w:top w:val="nil"/>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企业理论与企业组织</w:t>
            </w:r>
          </w:p>
        </w:tc>
        <w:tc>
          <w:tcPr>
            <w:tcW w:w="1608"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营销管理</w:t>
            </w:r>
          </w:p>
        </w:tc>
        <w:tc>
          <w:tcPr>
            <w:tcW w:w="1755" w:type="pct"/>
            <w:tcBorders>
              <w:top w:val="nil"/>
              <w:left w:val="nil"/>
              <w:bottom w:val="single" w:color="000000"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设计思维与商业创新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trPr>
        <w:tc>
          <w:tcPr>
            <w:tcW w:w="1636" w:type="pct"/>
            <w:tcBorders>
              <w:top w:val="nil"/>
              <w:left w:val="single" w:color="000000" w:sz="4" w:space="0"/>
              <w:bottom w:val="nil"/>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现代公司理财</w:t>
            </w:r>
          </w:p>
        </w:tc>
        <w:tc>
          <w:tcPr>
            <w:tcW w:w="1608" w:type="pct"/>
            <w:tcBorders>
              <w:top w:val="nil"/>
              <w:left w:val="nil"/>
              <w:bottom w:val="nil"/>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管理研究方法</w:t>
            </w:r>
          </w:p>
        </w:tc>
        <w:tc>
          <w:tcPr>
            <w:tcW w:w="1755" w:type="pct"/>
            <w:tcBorders>
              <w:top w:val="nil"/>
              <w:left w:val="nil"/>
              <w:bottom w:val="nil"/>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b w:val="0"/>
                <w:bCs w:val="0"/>
                <w:sz w:val="44"/>
                <w:szCs w:val="40"/>
              </w:rPr>
            </w:pPr>
            <w:r>
              <w:rPr>
                <w:rStyle w:val="9"/>
                <w:rFonts w:hint="eastAsia" w:ascii="仿宋" w:hAnsi="仿宋" w:eastAsia="仿宋" w:cs="仿宋"/>
                <w:b w:val="0"/>
                <w:bCs w:val="0"/>
                <w:i w:val="0"/>
                <w:iCs w:val="0"/>
                <w:caps w:val="0"/>
                <w:color w:val="000000"/>
                <w:spacing w:val="0"/>
                <w:sz w:val="24"/>
                <w:szCs w:val="24"/>
              </w:rPr>
              <w:t>运营管理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trPr>
        <w:tc>
          <w:tcPr>
            <w:tcW w:w="1636" w:type="pct"/>
            <w:tcBorders>
              <w:top w:val="single" w:color="auto" w:sz="4" w:space="0"/>
              <w:left w:val="single" w:color="auto" w:sz="4" w:space="0"/>
              <w:bottom w:val="single" w:color="auto"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Style w:val="9"/>
                <w:rFonts w:hint="eastAsia" w:ascii="仿宋" w:hAnsi="仿宋" w:eastAsia="仿宋" w:cs="仿宋"/>
                <w:b w:val="0"/>
                <w:bCs w:val="0"/>
                <w:i w:val="0"/>
                <w:iCs w:val="0"/>
                <w:caps w:val="0"/>
                <w:color w:val="000000"/>
                <w:spacing w:val="0"/>
                <w:sz w:val="24"/>
                <w:szCs w:val="24"/>
                <w:lang w:val="en-US" w:eastAsia="zh-CN"/>
              </w:rPr>
            </w:pPr>
            <w:r>
              <w:rPr>
                <w:rStyle w:val="9"/>
                <w:rFonts w:hint="eastAsia" w:ascii="仿宋" w:hAnsi="仿宋" w:eastAsia="仿宋" w:cs="仿宋"/>
                <w:b w:val="0"/>
                <w:bCs w:val="0"/>
                <w:i w:val="0"/>
                <w:iCs w:val="0"/>
                <w:caps w:val="0"/>
                <w:color w:val="000000"/>
                <w:spacing w:val="0"/>
                <w:sz w:val="24"/>
                <w:szCs w:val="24"/>
                <w:lang w:val="en-US" w:eastAsia="zh-CN"/>
              </w:rPr>
              <w:t>-</w:t>
            </w:r>
            <w:bookmarkStart w:id="0" w:name="_GoBack"/>
            <w:bookmarkEnd w:id="0"/>
          </w:p>
        </w:tc>
        <w:tc>
          <w:tcPr>
            <w:tcW w:w="1608" w:type="pct"/>
            <w:tcBorders>
              <w:top w:val="single" w:color="auto" w:sz="4" w:space="0"/>
              <w:left w:val="nil"/>
              <w:bottom w:val="single" w:color="auto" w:sz="4" w:space="0"/>
              <w:right w:val="single" w:color="000000"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rStyle w:val="9"/>
                <w:rFonts w:hint="eastAsia" w:ascii="仿宋" w:hAnsi="仿宋" w:eastAsia="仿宋" w:cs="仿宋"/>
                <w:b w:val="0"/>
                <w:bCs w:val="0"/>
                <w:i w:val="0"/>
                <w:iCs w:val="0"/>
                <w:caps w:val="0"/>
                <w:color w:val="000000"/>
                <w:spacing w:val="0"/>
                <w:sz w:val="24"/>
                <w:szCs w:val="24"/>
                <w:lang w:val="en-US" w:eastAsia="zh-CN"/>
              </w:rPr>
            </w:pPr>
            <w:r>
              <w:rPr>
                <w:rStyle w:val="9"/>
                <w:rFonts w:hint="eastAsia" w:ascii="仿宋" w:hAnsi="仿宋" w:eastAsia="仿宋" w:cs="仿宋"/>
                <w:b w:val="0"/>
                <w:bCs w:val="0"/>
                <w:i w:val="0"/>
                <w:iCs w:val="0"/>
                <w:caps w:val="0"/>
                <w:color w:val="000000"/>
                <w:spacing w:val="0"/>
                <w:sz w:val="24"/>
                <w:szCs w:val="24"/>
                <w:lang w:val="en-US" w:eastAsia="zh-CN"/>
              </w:rPr>
              <w:t>-</w:t>
            </w:r>
          </w:p>
        </w:tc>
        <w:tc>
          <w:tcPr>
            <w:tcW w:w="1755" w:type="pct"/>
            <w:tcBorders>
              <w:top w:val="single" w:color="auto" w:sz="4" w:space="0"/>
              <w:left w:val="nil"/>
              <w:bottom w:val="single" w:color="auto" w:sz="4" w:space="0"/>
              <w:right w:val="single" w:color="auto" w:sz="4" w:space="0"/>
            </w:tcBorders>
            <w:shd w:val="clear" w:color="auto" w:fill="auto"/>
            <w:noWrap/>
            <w:tcMar>
              <w:top w:w="10" w:type="dxa"/>
              <w:left w:w="10" w:type="dxa"/>
              <w:right w:w="10" w:type="dxa"/>
            </w:tcMar>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textAlignment w:val="center"/>
              <w:rPr>
                <w:rStyle w:val="9"/>
                <w:rFonts w:hint="eastAsia" w:ascii="仿宋" w:hAnsi="仿宋" w:eastAsia="仿宋" w:cs="仿宋"/>
                <w:b w:val="0"/>
                <w:bCs w:val="0"/>
                <w:i w:val="0"/>
                <w:iCs w:val="0"/>
                <w:caps w:val="0"/>
                <w:color w:val="000000"/>
                <w:spacing w:val="0"/>
                <w:sz w:val="24"/>
                <w:szCs w:val="24"/>
              </w:rPr>
            </w:pPr>
            <w:r>
              <w:rPr>
                <w:rStyle w:val="9"/>
                <w:rFonts w:hint="eastAsia" w:ascii="仿宋" w:hAnsi="仿宋" w:eastAsia="仿宋" w:cs="仿宋"/>
                <w:b w:val="0"/>
                <w:bCs w:val="0"/>
                <w:i w:val="0"/>
                <w:iCs w:val="0"/>
                <w:caps w:val="0"/>
                <w:color w:val="000000"/>
                <w:spacing w:val="0"/>
                <w:sz w:val="24"/>
                <w:szCs w:val="24"/>
              </w:rPr>
              <w:t>品牌管理</w:t>
            </w:r>
          </w:p>
        </w:tc>
      </w:tr>
    </w:tbl>
    <w:p>
      <w:pPr>
        <w:widowControl/>
        <w:shd w:val="clear" w:color="auto" w:fill="FFFFFF"/>
        <w:spacing w:after="150" w:line="360" w:lineRule="exact"/>
        <w:jc w:val="left"/>
        <w:rPr>
          <w:rFonts w:ascii="仿宋" w:hAnsi="仿宋" w:eastAsia="仿宋" w:cs="Helvetica"/>
          <w:b/>
          <w:color w:val="666666"/>
          <w:kern w:val="0"/>
          <w:sz w:val="24"/>
          <w:szCs w:val="24"/>
        </w:rPr>
      </w:pPr>
    </w:p>
    <w:p>
      <w:pPr>
        <w:widowControl/>
        <w:numPr>
          <w:ilvl w:val="0"/>
          <w:numId w:val="0"/>
        </w:numPr>
        <w:shd w:val="clear" w:color="auto" w:fill="FEFAFB"/>
        <w:spacing w:line="480" w:lineRule="atLeast"/>
        <w:ind w:firstLine="482" w:firstLineChars="200"/>
        <w:jc w:val="left"/>
        <w:rPr>
          <w:rFonts w:hint="eastAsia" w:ascii="仿宋" w:hAnsi="仿宋" w:eastAsia="仿宋" w:cs="仿宋"/>
          <w:b/>
          <w:bCs/>
          <w:color w:val="FF0000"/>
          <w:kern w:val="0"/>
          <w:sz w:val="24"/>
          <w:szCs w:val="24"/>
          <w:lang w:val="en-US" w:eastAsia="zh-CN"/>
        </w:rPr>
      </w:pPr>
      <w:r>
        <w:rPr>
          <w:rFonts w:hint="eastAsia" w:ascii="仿宋" w:hAnsi="仿宋" w:eastAsia="仿宋" w:cs="仿宋"/>
          <w:b/>
          <w:bCs/>
          <w:color w:val="FF0000"/>
          <w:kern w:val="0"/>
          <w:sz w:val="24"/>
          <w:szCs w:val="24"/>
          <w:lang w:val="en-US" w:eastAsia="zh-CN"/>
        </w:rPr>
        <w:t>四、招生对象</w:t>
      </w:r>
    </w:p>
    <w:p>
      <w:pPr>
        <w:keepNext w:val="0"/>
        <w:keepLines w:val="0"/>
        <w:pageBreakBefore w:val="0"/>
        <w:widowControl/>
        <w:numPr>
          <w:ilvl w:val="0"/>
          <w:numId w:val="0"/>
        </w:numPr>
        <w:shd w:val="clear" w:color="auto" w:fill="FEFAFB"/>
        <w:kinsoku/>
        <w:wordWrap/>
        <w:overflowPunct/>
        <w:topLinePunct w:val="0"/>
        <w:autoSpaceDE/>
        <w:autoSpaceDN/>
        <w:bidi w:val="0"/>
        <w:adjustRightInd/>
        <w:snapToGrid/>
        <w:spacing w:line="480" w:lineRule="atLeast"/>
        <w:ind w:firstLine="480" w:firstLineChars="200"/>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1.拥护《中华人民共和国宪法》，遵守法律、法规，品行端正。</w:t>
      </w:r>
    </w:p>
    <w:p>
      <w:pPr>
        <w:keepNext w:val="0"/>
        <w:keepLines w:val="0"/>
        <w:pageBreakBefore w:val="0"/>
        <w:widowControl/>
        <w:shd w:val="clear" w:color="auto" w:fill="FEFAFB"/>
        <w:kinsoku/>
        <w:wordWrap/>
        <w:overflowPunct/>
        <w:topLinePunct w:val="0"/>
        <w:autoSpaceDE/>
        <w:autoSpaceDN/>
        <w:bidi w:val="0"/>
        <w:adjustRightInd/>
        <w:snapToGrid/>
        <w:spacing w:line="480" w:lineRule="atLeast"/>
        <w:ind w:firstLine="480" w:firstLineChars="200"/>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具有大学本科学历，获得学士学位，并获得学士学位两年以上，或虽无本科学士学位但已获得硕士或博士学位者。对已获得的学士、硕士或博士学位为国（境）外学位的，其所获的国（境）外学位需经教育部留学服务中心认证。</w:t>
      </w:r>
    </w:p>
    <w:p>
      <w:pPr>
        <w:keepNext w:val="0"/>
        <w:keepLines w:val="0"/>
        <w:pageBreakBefore w:val="0"/>
        <w:widowControl/>
        <w:shd w:val="clear" w:color="auto" w:fill="FEFAFB"/>
        <w:kinsoku/>
        <w:wordWrap/>
        <w:overflowPunct/>
        <w:topLinePunct w:val="0"/>
        <w:autoSpaceDE/>
        <w:autoSpaceDN/>
        <w:bidi w:val="0"/>
        <w:adjustRightInd/>
        <w:snapToGrid/>
        <w:spacing w:line="480" w:lineRule="atLeast"/>
        <w:ind w:firstLine="480" w:firstLineChars="200"/>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3.学士学位未满三年者可以先入学参加课程学习，待满三年后可参加报名参加外语水平全国统一考试。</w:t>
      </w:r>
    </w:p>
    <w:p>
      <w:pPr>
        <w:keepNext w:val="0"/>
        <w:keepLines w:val="0"/>
        <w:pageBreakBefore w:val="0"/>
        <w:widowControl/>
        <w:shd w:val="clear" w:color="auto" w:fill="FEFAFB"/>
        <w:kinsoku/>
        <w:wordWrap/>
        <w:overflowPunct/>
        <w:topLinePunct w:val="0"/>
        <w:autoSpaceDE/>
        <w:autoSpaceDN/>
        <w:bidi w:val="0"/>
        <w:adjustRightInd/>
        <w:snapToGrid/>
        <w:spacing w:line="480" w:lineRule="atLeast"/>
        <w:ind w:firstLine="480" w:firstLineChars="200"/>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4.具有大学本科学历，但无学士学位或大专学历者可参加课程学习，课程考试合格可获得江西财经大学研究生课程结业证书，但不能申请学位。</w:t>
      </w:r>
    </w:p>
    <w:p>
      <w:pPr>
        <w:widowControl/>
        <w:shd w:val="clear" w:color="auto" w:fill="FEFAFB"/>
        <w:spacing w:line="480" w:lineRule="atLeast"/>
        <w:ind w:firstLine="420"/>
        <w:jc w:val="left"/>
        <w:rPr>
          <w:rFonts w:hint="eastAsia" w:ascii="仿宋" w:hAnsi="仿宋" w:eastAsia="仿宋" w:cs="仿宋"/>
          <w:color w:val="FF0000"/>
          <w:kern w:val="0"/>
          <w:sz w:val="24"/>
          <w:szCs w:val="24"/>
        </w:rPr>
      </w:pPr>
      <w:r>
        <w:rPr>
          <w:rFonts w:hint="eastAsia" w:ascii="仿宋" w:hAnsi="仿宋" w:eastAsia="仿宋" w:cs="仿宋"/>
          <w:b/>
          <w:bCs/>
          <w:color w:val="FF0000"/>
          <w:kern w:val="0"/>
          <w:sz w:val="24"/>
          <w:szCs w:val="24"/>
          <w:lang w:val="en-US" w:eastAsia="zh-CN"/>
        </w:rPr>
        <w:t>五、学制学位</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同等学力人员申请硕士学位分为三个阶段:课程学习培养阶段(简称第一阶段)、全国统一考试阶段(简称第二阶段)和撰写学位论文及答辩阶段(简称第三阶段)。</w:t>
      </w:r>
    </w:p>
    <w:p>
      <w:pPr>
        <w:widowControl/>
        <w:numPr>
          <w:ilvl w:val="0"/>
          <w:numId w:val="1"/>
        </w:numPr>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一阶段(课程学习):申请人自通过资格审查之日起,按学校教学进度安排,修完江西财经大学同等学力规定的全部课程,按要求参加课程考试,成绩合格,可获待江西财经大学课程结业证书(为同等学力教育)。课程学习期一般为1年,每月集中双休日授课。</w:t>
      </w:r>
    </w:p>
    <w:p>
      <w:pPr>
        <w:widowControl/>
        <w:numPr>
          <w:ilvl w:val="0"/>
          <w:numId w:val="1"/>
        </w:numPr>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第二阶段(全国统一考试):获得学士学位满3年并修满学校规定的学分者,申请同等学力人员申请硕士学位外国语水平全国统一考试和学科专业综合考试。(每年一次)</w:t>
      </w:r>
    </w:p>
    <w:p>
      <w:pPr>
        <w:widowControl/>
        <w:numPr>
          <w:ilvl w:val="0"/>
          <w:numId w:val="1"/>
        </w:numPr>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第三阶段(论文写作答辩):全国统一组织的外国语水平考试及学科专业综合考试成绩合格者,并完成研究生课程学习者方可进入硕士学位论文写作阶段。</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论文通过评审、答辩,经我校学位委员会批准,授予国务院学位委员会统一颁发的硕士学位证书。</w:t>
      </w:r>
      <w:r>
        <w:rPr>
          <w:rFonts w:hint="eastAsia" w:ascii="仿宋" w:hAnsi="仿宋" w:eastAsia="仿宋" w:cs="仿宋"/>
          <w:b/>
          <w:bCs/>
          <w:color w:val="000000"/>
          <w:kern w:val="0"/>
          <w:sz w:val="24"/>
          <w:szCs w:val="24"/>
        </w:rPr>
        <w:t>学位论文及答辩阶段一般为1年，四年内未全部通过课程和全国统一考试者，所修课程学分无效。</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注：申请人必须在完成规定学分并通过全国外语水平统考和学科专业综合考试后一年内向学校提出学位论文申请。全国统一组织的外国语水平考试和学科专业综合考试每年3月初报名,5月下旬考试。外语统考约4级水平。</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p>
    <w:p>
      <w:pPr>
        <w:widowControl/>
        <w:shd w:val="clear" w:color="auto" w:fill="FEFAFB"/>
        <w:spacing w:line="480" w:lineRule="atLeast"/>
        <w:ind w:firstLine="420"/>
        <w:jc w:val="left"/>
        <w:rPr>
          <w:rFonts w:hint="eastAsia" w:ascii="仿宋" w:hAnsi="仿宋" w:eastAsia="仿宋" w:cs="仿宋"/>
          <w:color w:val="FF0000"/>
          <w:kern w:val="0"/>
          <w:sz w:val="24"/>
          <w:szCs w:val="24"/>
        </w:rPr>
      </w:pPr>
      <w:r>
        <w:rPr>
          <w:rFonts w:hint="eastAsia" w:ascii="仿宋" w:hAnsi="仿宋" w:eastAsia="仿宋" w:cs="仿宋"/>
          <w:b/>
          <w:bCs/>
          <w:color w:val="FF0000"/>
          <w:kern w:val="0"/>
          <w:sz w:val="24"/>
          <w:szCs w:val="24"/>
          <w:lang w:val="en-US" w:eastAsia="zh-CN"/>
        </w:rPr>
        <w:t>六</w:t>
      </w:r>
      <w:r>
        <w:rPr>
          <w:rFonts w:hint="eastAsia" w:ascii="仿宋" w:hAnsi="仿宋" w:eastAsia="仿宋" w:cs="仿宋"/>
          <w:b/>
          <w:bCs/>
          <w:color w:val="FF0000"/>
          <w:kern w:val="0"/>
          <w:sz w:val="24"/>
          <w:szCs w:val="24"/>
        </w:rPr>
        <w:t>、</w:t>
      </w:r>
      <w:r>
        <w:rPr>
          <w:rFonts w:hint="eastAsia" w:ascii="仿宋" w:hAnsi="仿宋" w:eastAsia="仿宋" w:cs="仿宋"/>
          <w:b/>
          <w:bCs/>
          <w:color w:val="FF0000"/>
          <w:kern w:val="0"/>
          <w:sz w:val="24"/>
          <w:szCs w:val="24"/>
          <w:lang w:val="en-US" w:eastAsia="zh-CN"/>
        </w:rPr>
        <w:t>缴纳</w:t>
      </w:r>
      <w:r>
        <w:rPr>
          <w:rFonts w:hint="eastAsia" w:ascii="仿宋" w:hAnsi="仿宋" w:eastAsia="仿宋" w:cs="仿宋"/>
          <w:b/>
          <w:bCs/>
          <w:color w:val="FF0000"/>
          <w:kern w:val="0"/>
          <w:sz w:val="24"/>
          <w:szCs w:val="24"/>
        </w:rPr>
        <w:t>学费</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根据我校下发的《江西财经大学同等学力人员申请硕士学位收入管理办法》的通知（江财财务字【2022】4号）文件精神，从即日起，学费缴纳分两段制进行，即课程学习阶段和撰写学位论文及答辩阶段。</w:t>
      </w:r>
      <w:r>
        <w:rPr>
          <w:rFonts w:hint="eastAsia" w:ascii="仿宋" w:hAnsi="仿宋" w:eastAsia="仿宋" w:cs="仿宋"/>
          <w:b/>
          <w:bCs/>
          <w:color w:val="000000"/>
          <w:kern w:val="0"/>
          <w:sz w:val="24"/>
          <w:szCs w:val="24"/>
        </w:rPr>
        <w:t>课程学习阶段学费为15000元，教材、资料自理。撰写学位论文及答辩阶段学费为12000元</w:t>
      </w:r>
      <w:r>
        <w:rPr>
          <w:rFonts w:hint="eastAsia" w:ascii="仿宋" w:hAnsi="仿宋" w:eastAsia="仿宋" w:cs="仿宋"/>
          <w:color w:val="000000"/>
          <w:kern w:val="0"/>
          <w:sz w:val="24"/>
          <w:szCs w:val="24"/>
        </w:rPr>
        <w:t>，各项收费实际以学校相关规定为准。学生缴纳相关费用后，可获得学校财务处开具的电子缴费发票。</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p>
    <w:p>
      <w:pPr>
        <w:widowControl/>
        <w:shd w:val="clear" w:color="auto" w:fill="FEFAFB"/>
        <w:spacing w:line="480" w:lineRule="atLeast"/>
        <w:ind w:firstLine="420"/>
        <w:jc w:val="left"/>
        <w:rPr>
          <w:rFonts w:hint="eastAsia" w:ascii="仿宋" w:hAnsi="仿宋" w:eastAsia="仿宋" w:cs="仿宋"/>
          <w:b/>
          <w:bCs/>
          <w:color w:val="FF0000"/>
          <w:kern w:val="0"/>
          <w:sz w:val="24"/>
          <w:szCs w:val="24"/>
          <w:lang w:val="en-US" w:eastAsia="zh-CN"/>
        </w:rPr>
      </w:pPr>
      <w:r>
        <w:rPr>
          <w:rFonts w:hint="eastAsia" w:ascii="仿宋" w:hAnsi="仿宋" w:eastAsia="仿宋" w:cs="仿宋"/>
          <w:b/>
          <w:bCs/>
          <w:color w:val="FF0000"/>
          <w:kern w:val="0"/>
          <w:sz w:val="24"/>
          <w:szCs w:val="24"/>
          <w:lang w:val="en-US" w:eastAsia="zh-CN"/>
        </w:rPr>
        <w:t>七、</w:t>
      </w:r>
      <w:r>
        <w:rPr>
          <w:rFonts w:hint="eastAsia" w:ascii="仿宋" w:hAnsi="仿宋" w:eastAsia="仿宋" w:cs="仿宋"/>
          <w:b/>
          <w:bCs/>
          <w:color w:val="FF0000"/>
          <w:kern w:val="0"/>
          <w:sz w:val="24"/>
          <w:szCs w:val="24"/>
        </w:rPr>
        <w:t>报名</w:t>
      </w:r>
      <w:r>
        <w:rPr>
          <w:rFonts w:hint="eastAsia" w:ascii="仿宋" w:hAnsi="仿宋" w:eastAsia="仿宋" w:cs="仿宋"/>
          <w:b/>
          <w:bCs/>
          <w:color w:val="FF0000"/>
          <w:kern w:val="0"/>
          <w:sz w:val="24"/>
          <w:szCs w:val="24"/>
          <w:lang w:val="en-US" w:eastAsia="zh-CN"/>
        </w:rPr>
        <w:t>流程</w:t>
      </w:r>
    </w:p>
    <w:p>
      <w:pPr>
        <w:widowControl/>
        <w:shd w:val="clear" w:color="auto" w:fill="FEFAFB"/>
        <w:spacing w:line="480" w:lineRule="atLeast"/>
        <w:ind w:firstLine="420"/>
        <w:jc w:val="left"/>
        <w:rPr>
          <w:rFonts w:hint="eastAsia" w:ascii="仿宋" w:hAnsi="仿宋" w:eastAsia="仿宋" w:cs="仿宋"/>
          <w:b w:val="0"/>
          <w:bCs w:val="0"/>
          <w:color w:val="000000"/>
          <w:kern w:val="0"/>
          <w:sz w:val="24"/>
          <w:szCs w:val="24"/>
          <w:lang w:val="en-US" w:eastAsia="zh-CN"/>
        </w:rPr>
      </w:pPr>
      <w:r>
        <w:rPr>
          <w:rFonts w:hint="eastAsia" w:ascii="仿宋" w:hAnsi="仿宋" w:eastAsia="仿宋" w:cs="仿宋"/>
          <w:b w:val="0"/>
          <w:bCs w:val="0"/>
          <w:color w:val="000000"/>
          <w:kern w:val="0"/>
          <w:sz w:val="24"/>
          <w:szCs w:val="24"/>
          <w:lang w:val="en-US" w:eastAsia="zh-CN"/>
        </w:rPr>
        <w:t>1、填写报名表</w:t>
      </w:r>
    </w:p>
    <w:p>
      <w:pPr>
        <w:widowControl/>
        <w:shd w:val="clear" w:color="auto" w:fill="FEFAFB"/>
        <w:spacing w:line="480" w:lineRule="atLeast"/>
        <w:ind w:firstLine="420"/>
        <w:jc w:val="left"/>
        <w:rPr>
          <w:rFonts w:hint="eastAsia" w:ascii="仿宋" w:hAnsi="仿宋" w:eastAsia="仿宋" w:cs="仿宋"/>
          <w:b w:val="0"/>
          <w:bCs w:val="0"/>
          <w:color w:val="000000"/>
          <w:kern w:val="0"/>
          <w:sz w:val="24"/>
          <w:szCs w:val="24"/>
          <w:lang w:val="en-US" w:eastAsia="zh-CN"/>
        </w:rPr>
      </w:pPr>
      <w:r>
        <w:rPr>
          <w:rFonts w:hint="eastAsia" w:ascii="仿宋" w:hAnsi="仿宋" w:eastAsia="仿宋" w:cs="仿宋"/>
          <w:b w:val="0"/>
          <w:bCs w:val="0"/>
          <w:color w:val="000000"/>
          <w:kern w:val="0"/>
          <w:sz w:val="24"/>
          <w:szCs w:val="24"/>
          <w:lang w:val="en-US" w:eastAsia="zh-CN"/>
        </w:rPr>
        <w:t>2、交最高学历或学位证书、身份证电子版及复印件各一份；</w:t>
      </w:r>
    </w:p>
    <w:p>
      <w:pPr>
        <w:widowControl/>
        <w:shd w:val="clear" w:color="auto" w:fill="FEFAFB"/>
        <w:spacing w:line="480" w:lineRule="atLeast"/>
        <w:ind w:firstLine="420"/>
        <w:jc w:val="left"/>
        <w:rPr>
          <w:rFonts w:hint="eastAsia" w:ascii="仿宋" w:hAnsi="仿宋" w:eastAsia="仿宋" w:cs="仿宋"/>
          <w:b w:val="0"/>
          <w:bCs w:val="0"/>
          <w:color w:val="000000"/>
          <w:kern w:val="0"/>
          <w:sz w:val="24"/>
          <w:szCs w:val="24"/>
          <w:lang w:val="en-US" w:eastAsia="zh-CN"/>
        </w:rPr>
      </w:pPr>
      <w:r>
        <w:rPr>
          <w:rFonts w:hint="eastAsia" w:ascii="仿宋" w:hAnsi="仿宋" w:eastAsia="仿宋" w:cs="仿宋"/>
          <w:b w:val="0"/>
          <w:bCs w:val="0"/>
          <w:color w:val="000000"/>
          <w:kern w:val="0"/>
          <w:sz w:val="24"/>
          <w:szCs w:val="24"/>
          <w:lang w:val="en-US" w:eastAsia="zh-CN"/>
        </w:rPr>
        <w:t>3、交免冠蓝底近照10张（其中6张一寸、4张二寸）及一寸蓝底免冠照片的电子版；</w:t>
      </w:r>
    </w:p>
    <w:p>
      <w:pPr>
        <w:widowControl/>
        <w:shd w:val="clear" w:color="auto" w:fill="FEFAFB"/>
        <w:spacing w:line="480" w:lineRule="atLeast"/>
        <w:ind w:firstLine="420"/>
        <w:jc w:val="left"/>
        <w:rPr>
          <w:rFonts w:hint="eastAsia" w:ascii="仿宋" w:hAnsi="仿宋" w:eastAsia="仿宋" w:cs="仿宋"/>
          <w:color w:val="000000"/>
          <w:kern w:val="0"/>
          <w:sz w:val="24"/>
          <w:szCs w:val="24"/>
        </w:rPr>
      </w:pPr>
      <w:r>
        <w:rPr>
          <w:rFonts w:hint="eastAsia" w:ascii="仿宋" w:hAnsi="仿宋" w:eastAsia="仿宋" w:cs="仿宋"/>
          <w:b w:val="0"/>
          <w:bCs w:val="0"/>
          <w:color w:val="000000"/>
          <w:kern w:val="0"/>
          <w:sz w:val="24"/>
          <w:szCs w:val="24"/>
          <w:lang w:val="en-US" w:eastAsia="zh-CN"/>
        </w:rPr>
        <w:t>4、经审核合格后，学员在规定时间内来报名中心缴纳第一阶段费用并注册。</w:t>
      </w:r>
    </w:p>
    <w:sectPr>
      <w:headerReference r:id="rId3" w:type="default"/>
      <w:headerReference r:id="rId4" w:type="even"/>
      <w:pgSz w:w="11906" w:h="16838"/>
      <w:pgMar w:top="1440" w:right="1800" w:bottom="1440" w:left="1800" w:header="227"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F00B8"/>
    <w:multiLevelType w:val="singleLevel"/>
    <w:tmpl w:val="B56F00B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3NzQzZWVkNmFmNThmMDQyYWRhYjg2ZDJmNDhiYmEifQ=="/>
  </w:docVars>
  <w:rsids>
    <w:rsidRoot w:val="00BA183F"/>
    <w:rsid w:val="000406FE"/>
    <w:rsid w:val="00077E7D"/>
    <w:rsid w:val="00123FC9"/>
    <w:rsid w:val="001346DF"/>
    <w:rsid w:val="00134E79"/>
    <w:rsid w:val="001E708C"/>
    <w:rsid w:val="002F3531"/>
    <w:rsid w:val="003032C4"/>
    <w:rsid w:val="0037700C"/>
    <w:rsid w:val="003811C4"/>
    <w:rsid w:val="003936F4"/>
    <w:rsid w:val="003A51F1"/>
    <w:rsid w:val="003C21A6"/>
    <w:rsid w:val="004067C0"/>
    <w:rsid w:val="00454088"/>
    <w:rsid w:val="004B784C"/>
    <w:rsid w:val="004E2E58"/>
    <w:rsid w:val="004F1EE9"/>
    <w:rsid w:val="00524D4A"/>
    <w:rsid w:val="00531456"/>
    <w:rsid w:val="0053442B"/>
    <w:rsid w:val="0053769D"/>
    <w:rsid w:val="005C0417"/>
    <w:rsid w:val="005D0EE9"/>
    <w:rsid w:val="005F162E"/>
    <w:rsid w:val="0060049E"/>
    <w:rsid w:val="006074A4"/>
    <w:rsid w:val="00621D47"/>
    <w:rsid w:val="0063761E"/>
    <w:rsid w:val="00637C2E"/>
    <w:rsid w:val="00723683"/>
    <w:rsid w:val="007A3AA2"/>
    <w:rsid w:val="007A43B5"/>
    <w:rsid w:val="0083618B"/>
    <w:rsid w:val="008946B9"/>
    <w:rsid w:val="008E569E"/>
    <w:rsid w:val="008E7139"/>
    <w:rsid w:val="00902127"/>
    <w:rsid w:val="0098070E"/>
    <w:rsid w:val="00991200"/>
    <w:rsid w:val="009C2C5E"/>
    <w:rsid w:val="009F1E31"/>
    <w:rsid w:val="00B00570"/>
    <w:rsid w:val="00B22625"/>
    <w:rsid w:val="00B658E7"/>
    <w:rsid w:val="00BA183F"/>
    <w:rsid w:val="00BB5D76"/>
    <w:rsid w:val="00BC564D"/>
    <w:rsid w:val="00BE69FB"/>
    <w:rsid w:val="00BF012A"/>
    <w:rsid w:val="00C00CB2"/>
    <w:rsid w:val="00C83522"/>
    <w:rsid w:val="00CA2A2A"/>
    <w:rsid w:val="00D34C26"/>
    <w:rsid w:val="00D809FB"/>
    <w:rsid w:val="00D83FA5"/>
    <w:rsid w:val="00DC10A6"/>
    <w:rsid w:val="00DC4266"/>
    <w:rsid w:val="00DF51AA"/>
    <w:rsid w:val="00E254FD"/>
    <w:rsid w:val="00E679F6"/>
    <w:rsid w:val="00F60A5A"/>
    <w:rsid w:val="01671D61"/>
    <w:rsid w:val="02685C0C"/>
    <w:rsid w:val="053F63BC"/>
    <w:rsid w:val="06846A8A"/>
    <w:rsid w:val="0B18030D"/>
    <w:rsid w:val="0B760E03"/>
    <w:rsid w:val="0C9C7A70"/>
    <w:rsid w:val="0D144201"/>
    <w:rsid w:val="0D971B2D"/>
    <w:rsid w:val="11D215B6"/>
    <w:rsid w:val="12E540D5"/>
    <w:rsid w:val="140378BC"/>
    <w:rsid w:val="17397609"/>
    <w:rsid w:val="194D49C4"/>
    <w:rsid w:val="1961382D"/>
    <w:rsid w:val="1997072D"/>
    <w:rsid w:val="1AB437AE"/>
    <w:rsid w:val="1C194972"/>
    <w:rsid w:val="1E043C68"/>
    <w:rsid w:val="1F354E12"/>
    <w:rsid w:val="203F1C92"/>
    <w:rsid w:val="21F12031"/>
    <w:rsid w:val="22A708EB"/>
    <w:rsid w:val="25F1465E"/>
    <w:rsid w:val="29525046"/>
    <w:rsid w:val="2B0C3777"/>
    <w:rsid w:val="2C3829FA"/>
    <w:rsid w:val="2C8D0CF1"/>
    <w:rsid w:val="2D906999"/>
    <w:rsid w:val="2D974B5E"/>
    <w:rsid w:val="2E491D62"/>
    <w:rsid w:val="2F4C4CD0"/>
    <w:rsid w:val="304D708C"/>
    <w:rsid w:val="33913B4F"/>
    <w:rsid w:val="34790C09"/>
    <w:rsid w:val="34AD4F76"/>
    <w:rsid w:val="34B33E5A"/>
    <w:rsid w:val="35833E76"/>
    <w:rsid w:val="376B147A"/>
    <w:rsid w:val="3BDB65CD"/>
    <w:rsid w:val="455B752E"/>
    <w:rsid w:val="47443396"/>
    <w:rsid w:val="47F307F9"/>
    <w:rsid w:val="4935642B"/>
    <w:rsid w:val="4B2961C0"/>
    <w:rsid w:val="4EC9029F"/>
    <w:rsid w:val="500278ED"/>
    <w:rsid w:val="5047583F"/>
    <w:rsid w:val="5126195B"/>
    <w:rsid w:val="52E92AD0"/>
    <w:rsid w:val="55083094"/>
    <w:rsid w:val="55765316"/>
    <w:rsid w:val="55D12C6E"/>
    <w:rsid w:val="57044E61"/>
    <w:rsid w:val="58B54151"/>
    <w:rsid w:val="5BA02E96"/>
    <w:rsid w:val="5BA81260"/>
    <w:rsid w:val="5DEE7AFF"/>
    <w:rsid w:val="5FEB167E"/>
    <w:rsid w:val="63643A61"/>
    <w:rsid w:val="657B3D1E"/>
    <w:rsid w:val="67FA56DC"/>
    <w:rsid w:val="68A71D15"/>
    <w:rsid w:val="6E82085E"/>
    <w:rsid w:val="6FAF5212"/>
    <w:rsid w:val="7AE27356"/>
    <w:rsid w:val="7FA75570"/>
    <w:rsid w:val="7FAE6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Autospacing="1" w:afterAutospacing="1"/>
      <w:jc w:val="left"/>
    </w:pPr>
    <w:rPr>
      <w:rFonts w:cs="Times New Roman"/>
      <w:kern w:val="0"/>
      <w:sz w:val="24"/>
    </w:rPr>
  </w:style>
  <w:style w:type="character" w:styleId="9">
    <w:name w:val="Strong"/>
    <w:basedOn w:val="8"/>
    <w:qFormat/>
    <w:uiPriority w:val="22"/>
    <w:rPr>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标题 1 Char"/>
    <w:basedOn w:val="8"/>
    <w:link w:val="2"/>
    <w:qFormat/>
    <w:uiPriority w:val="9"/>
    <w:rPr>
      <w:rFonts w:ascii="宋体" w:hAnsi="宋体" w:cs="宋体"/>
      <w:b/>
      <w:bCs/>
      <w:kern w:val="36"/>
      <w:sz w:val="48"/>
      <w:szCs w:val="48"/>
    </w:rPr>
  </w:style>
  <w:style w:type="character" w:customStyle="1" w:styleId="14">
    <w:name w:val="NormalCharacter"/>
    <w:semiHidden/>
    <w:qFormat/>
    <w:uiPriority w:val="0"/>
  </w:style>
  <w:style w:type="paragraph" w:styleId="15">
    <w:name w:val="List Paragraph"/>
    <w:basedOn w:val="1"/>
    <w:unhideWhenUsed/>
    <w:qFormat/>
    <w:uiPriority w:val="99"/>
    <w:pPr>
      <w:ind w:firstLine="420" w:firstLineChars="200"/>
    </w:pPr>
  </w:style>
  <w:style w:type="paragraph" w:customStyle="1" w:styleId="16">
    <w:name w:val="p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p3"/>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2250</Words>
  <Characters>2368</Characters>
  <Lines>17</Lines>
  <Paragraphs>4</Paragraphs>
  <TotalTime>6</TotalTime>
  <ScaleCrop>false</ScaleCrop>
  <LinksUpToDate>false</LinksUpToDate>
  <CharactersWithSpaces>2380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2020-09-22T09:12:00Z</dcterms:created>
  <dc:creator>Lenovo</dc:creator>
  <cp:lastModifiedBy>马丁</cp:lastModifiedBy>
  <dcterms:modified xsi:type="dcterms:W3CDTF">2023-05-09T07:21:21Z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1F10E6F1BBB0496BB21684DE7EAD9145</vt:lpwstr>
  </property>
</Properties>
</file>