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4C6D4">
      <w:pPr>
        <w:adjustRightInd w:val="0"/>
        <w:snapToGrid w:val="0"/>
        <w:spacing w:line="440" w:lineRule="atLeast"/>
        <w:rPr>
          <w:rFonts w:ascii="Times New Roman" w:hAnsi="Times New Roman" w:eastAsia="黑体"/>
          <w:sz w:val="24"/>
          <w:szCs w:val="24"/>
        </w:rPr>
      </w:pPr>
      <w:bookmarkStart w:id="0" w:name="_Toc170054286"/>
      <w:bookmarkStart w:id="1" w:name="_Toc171413440"/>
      <w:bookmarkStart w:id="2" w:name="_Toc170235774"/>
      <w:bookmarkStart w:id="3" w:name="_Toc170047423"/>
      <w:bookmarkStart w:id="4" w:name="_Toc170052839"/>
      <w:bookmarkStart w:id="5" w:name="_Toc85792156"/>
      <w:bookmarkStart w:id="6" w:name="_Toc170052675"/>
      <w:bookmarkStart w:id="7" w:name="_Toc170046720"/>
      <w:r>
        <w:rPr>
          <w:rFonts w:hint="eastAsia" w:ascii="Times New Roman" w:hAnsi="Times New Roman" w:eastAsia="黑体"/>
          <w:sz w:val="24"/>
          <w:szCs w:val="24"/>
        </w:rPr>
        <w:t>一级学科名称：应用经济学     一级学科代码：02</w:t>
      </w:r>
      <w:r>
        <w:rPr>
          <w:rFonts w:ascii="Times New Roman" w:hAnsi="Times New Roman" w:eastAsia="黑体"/>
          <w:sz w:val="24"/>
          <w:szCs w:val="24"/>
        </w:rPr>
        <w:t>02</w:t>
      </w:r>
    </w:p>
    <w:p w14:paraId="15A24221">
      <w:pPr>
        <w:adjustRightInd w:val="0"/>
        <w:snapToGrid w:val="0"/>
        <w:spacing w:line="440" w:lineRule="atLeast"/>
        <w:rPr>
          <w:rFonts w:ascii="Times New Roman" w:hAnsi="Times New Roman" w:eastAsia="黑体"/>
          <w:sz w:val="28"/>
          <w:szCs w:val="28"/>
        </w:rPr>
      </w:pPr>
      <w:r>
        <w:rPr>
          <w:rFonts w:hint="eastAsia" w:ascii="Times New Roman" w:hAnsi="Times New Roman" w:eastAsia="黑体"/>
          <w:sz w:val="24"/>
          <w:szCs w:val="24"/>
        </w:rPr>
        <w:t>二级学科名称：国际贸易学     二级学科代码：02</w:t>
      </w:r>
      <w:r>
        <w:rPr>
          <w:rFonts w:ascii="Times New Roman" w:hAnsi="Times New Roman" w:eastAsia="黑体"/>
          <w:sz w:val="24"/>
          <w:szCs w:val="24"/>
        </w:rPr>
        <w:t>0206</w:t>
      </w:r>
    </w:p>
    <w:p w14:paraId="3EBA2D79">
      <w:pPr>
        <w:keepNext w:val="0"/>
        <w:keepLines w:val="0"/>
        <w:pageBreakBefore w:val="0"/>
        <w:widowControl w:val="0"/>
        <w:kinsoku/>
        <w:wordWrap/>
        <w:overflowPunct/>
        <w:topLinePunct w:val="0"/>
        <w:autoSpaceDE/>
        <w:autoSpaceDN/>
        <w:bidi w:val="0"/>
        <w:adjustRightInd w:val="0"/>
        <w:snapToGrid w:val="0"/>
        <w:spacing w:line="400" w:lineRule="atLeast"/>
        <w:ind w:right="470" w:rightChars="224"/>
        <w:textAlignment w:val="auto"/>
        <w:rPr>
          <w:rFonts w:hint="eastAsia" w:ascii="黑体" w:hAnsi="Times New Roman" w:eastAsia="黑体"/>
          <w:color w:val="auto"/>
          <w:sz w:val="24"/>
          <w:szCs w:val="24"/>
        </w:rPr>
      </w:pPr>
    </w:p>
    <w:p w14:paraId="68E7176C">
      <w:pPr>
        <w:keepNext/>
        <w:keepLines/>
        <w:pageBreakBefore w:val="0"/>
        <w:kinsoku/>
        <w:wordWrap/>
        <w:overflowPunct/>
        <w:topLinePunct w:val="0"/>
        <w:autoSpaceDE/>
        <w:autoSpaceDN/>
        <w:bidi w:val="0"/>
        <w:adjustRightInd w:val="0"/>
        <w:snapToGrid w:val="0"/>
        <w:spacing w:before="79" w:beforeLines="25" w:after="79" w:afterLines="25" w:line="400" w:lineRule="atLeast"/>
        <w:jc w:val="center"/>
        <w:textAlignment w:val="auto"/>
        <w:outlineLvl w:val="0"/>
        <w:rPr>
          <w:rFonts w:hint="eastAsia" w:ascii="黑体" w:hAnsi="黑体" w:eastAsia="黑体" w:cs="黑体"/>
          <w:b/>
          <w:bCs w:val="0"/>
          <w:color w:val="auto"/>
          <w:kern w:val="44"/>
          <w:sz w:val="44"/>
          <w:szCs w:val="44"/>
          <w:lang w:val="en-US" w:eastAsia="zh-CN"/>
        </w:rPr>
      </w:pPr>
      <w:r>
        <w:rPr>
          <w:rFonts w:hint="eastAsia" w:ascii="黑体" w:hAnsi="黑体" w:eastAsia="黑体" w:cs="黑体"/>
          <w:b/>
          <w:bCs w:val="0"/>
          <w:color w:val="auto"/>
          <w:kern w:val="44"/>
          <w:sz w:val="44"/>
          <w:szCs w:val="44"/>
          <w:lang w:val="en-US" w:eastAsia="zh-CN"/>
        </w:rPr>
        <w:t>江西财经大学国际贸易学专业同等学力</w:t>
      </w:r>
    </w:p>
    <w:p w14:paraId="59055B75">
      <w:pPr>
        <w:keepNext/>
        <w:keepLines/>
        <w:pageBreakBefore w:val="0"/>
        <w:kinsoku/>
        <w:wordWrap/>
        <w:overflowPunct/>
        <w:topLinePunct w:val="0"/>
        <w:autoSpaceDE/>
        <w:autoSpaceDN/>
        <w:bidi w:val="0"/>
        <w:adjustRightInd w:val="0"/>
        <w:snapToGrid w:val="0"/>
        <w:spacing w:before="79" w:beforeLines="25" w:after="79" w:afterLines="25" w:line="400" w:lineRule="atLeast"/>
        <w:jc w:val="center"/>
        <w:textAlignment w:val="auto"/>
        <w:outlineLvl w:val="0"/>
        <w:rPr>
          <w:rFonts w:hint="eastAsia" w:ascii="黑体" w:hAnsi="黑体" w:eastAsia="黑体" w:cs="黑体"/>
          <w:b/>
          <w:bCs w:val="0"/>
          <w:color w:val="auto"/>
          <w:kern w:val="44"/>
          <w:sz w:val="44"/>
          <w:szCs w:val="44"/>
        </w:rPr>
      </w:pPr>
      <w:r>
        <w:rPr>
          <w:rFonts w:hint="eastAsia" w:ascii="黑体" w:hAnsi="黑体" w:eastAsia="黑体" w:cs="黑体"/>
          <w:b/>
          <w:bCs w:val="0"/>
          <w:color w:val="auto"/>
          <w:kern w:val="44"/>
          <w:sz w:val="44"/>
          <w:szCs w:val="44"/>
          <w:lang w:val="en-US" w:eastAsia="zh-CN"/>
        </w:rPr>
        <w:t>申请硕士学位招生简章</w:t>
      </w:r>
    </w:p>
    <w:p w14:paraId="716B32C4">
      <w:pPr>
        <w:pageBreakBefore w:val="0"/>
        <w:kinsoku/>
        <w:wordWrap/>
        <w:overflowPunct/>
        <w:topLinePunct w:val="0"/>
        <w:autoSpaceDE/>
        <w:autoSpaceDN/>
        <w:bidi w:val="0"/>
        <w:adjustRightInd w:val="0"/>
        <w:snapToGrid w:val="0"/>
        <w:spacing w:before="79" w:beforeLines="25" w:after="79" w:afterLines="25" w:line="400" w:lineRule="atLeast"/>
        <w:ind w:left="321" w:leftChars="153" w:right="227"/>
        <w:jc w:val="center"/>
        <w:textAlignment w:val="auto"/>
        <w:rPr>
          <w:rFonts w:hint="eastAsia" w:ascii="楷体_GB2312" w:hAnsi="宋体" w:eastAsia="楷体_GB2312"/>
          <w:b/>
          <w:bCs/>
          <w:color w:val="auto"/>
          <w:sz w:val="24"/>
          <w:szCs w:val="24"/>
        </w:rPr>
      </w:pPr>
    </w:p>
    <w:p w14:paraId="50A98258">
      <w:pPr>
        <w:pageBreakBefore w:val="0"/>
        <w:numPr>
          <w:ilvl w:val="0"/>
          <w:numId w:val="0"/>
        </w:numPr>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bCs/>
          <w:color w:val="000000" w:themeColor="text1"/>
          <w:sz w:val="24"/>
          <w:szCs w:val="24"/>
          <w:lang w:val="en-US" w:eastAsia="zh-Hans"/>
          <w14:textFill>
            <w14:solidFill>
              <w14:schemeClr w14:val="tx1"/>
            </w14:solidFill>
          </w14:textFill>
        </w:rPr>
      </w:pPr>
      <w:r>
        <w:rPr>
          <w:rFonts w:hint="eastAsia" w:ascii="黑体" w:hAnsi="宋体" w:eastAsia="黑体"/>
          <w:bCs/>
          <w:color w:val="000000" w:themeColor="text1"/>
          <w:sz w:val="24"/>
          <w:szCs w:val="24"/>
          <w:lang w:val="en-US" w:eastAsia="zh-CN"/>
          <w14:textFill>
            <w14:solidFill>
              <w14:schemeClr w14:val="tx1"/>
            </w14:solidFill>
          </w14:textFill>
        </w:rPr>
        <w:t>一、学校及</w:t>
      </w:r>
      <w:r>
        <w:rPr>
          <w:rFonts w:hint="eastAsia" w:ascii="黑体" w:hAnsi="宋体" w:eastAsia="黑体"/>
          <w:bCs/>
          <w:color w:val="000000" w:themeColor="text1"/>
          <w:sz w:val="24"/>
          <w:szCs w:val="24"/>
          <w:lang w:val="en-US" w:eastAsia="zh-Hans"/>
          <w14:textFill>
            <w14:solidFill>
              <w14:schemeClr w14:val="tx1"/>
            </w14:solidFill>
          </w14:textFill>
        </w:rPr>
        <w:t>学科概况</w:t>
      </w:r>
    </w:p>
    <w:p w14:paraId="533FF99A">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江西财经大学</w:t>
      </w:r>
      <w:r>
        <w:rPr>
          <w:rFonts w:hint="eastAsia" w:ascii="Times New Roman" w:hAnsi="Times New Roman"/>
          <w:color w:val="000000" w:themeColor="text1"/>
          <w:sz w:val="24"/>
          <w:szCs w:val="24"/>
          <w:lang w:val="en-US" w:eastAsia="zh-CN"/>
          <w14:textFill>
            <w14:solidFill>
              <w14:schemeClr w14:val="tx1"/>
            </w14:solidFill>
          </w14:textFill>
        </w:rPr>
        <w:t>创</w:t>
      </w:r>
      <w:r>
        <w:rPr>
          <w:rFonts w:hint="eastAsia" w:ascii="Times New Roman" w:hAnsi="Times New Roman"/>
          <w:color w:val="000000" w:themeColor="text1"/>
          <w:sz w:val="24"/>
          <w:szCs w:val="24"/>
          <w14:textFill>
            <w14:solidFill>
              <w14:schemeClr w14:val="tx1"/>
            </w14:solidFill>
          </w14:textFill>
        </w:rPr>
        <w:t>始于1923年，是财政部、教育部、江西省人民政府共建的高水平财经学府，获时任国务院总理温家宝“你们学校是所很好的学校”的赞誉，在全国财经类大学排行榜位列第7名，软科中国大学排名第101位，综合实力与行业认可度稳居前列。</w:t>
      </w:r>
    </w:p>
    <w:p w14:paraId="1BE4B9A0">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学校以经济、管理类学科为核心，构建多学科协调发展体系，形成数智类、经管类、文法类“三三制”特色布局。国际商务相关的应用经济学、工商管理学等学科实力雄厚，其中应用经济学、统计学获评全国第四轮学科评估A-等级，工商管理学获评B+等级，均为江西省一流建设学科，为国际商务专业学习提供坚实学科支撑。学校拥有9个一级学科博士学位授权点、22个专业硕士学位授权点及7个博士后流动站，科研平台丰富，包括31个省部级科研平台、教育部工程研究中心（培育）等，可助力学员接触前沿学术成果。</w:t>
      </w:r>
    </w:p>
    <w:p w14:paraId="0A490364">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师资力量</w:t>
      </w:r>
      <w:r>
        <w:rPr>
          <w:rFonts w:hint="eastAsia" w:ascii="Times New Roman" w:hAnsi="Times New Roman"/>
          <w:color w:val="000000" w:themeColor="text1"/>
          <w:sz w:val="24"/>
          <w:szCs w:val="24"/>
          <w:lang w:val="en-US" w:eastAsia="zh-CN"/>
          <w14:textFill>
            <w14:solidFill>
              <w14:schemeClr w14:val="tx1"/>
            </w14:solidFill>
          </w14:textFill>
        </w:rPr>
        <w:t>雄厚</w:t>
      </w:r>
      <w:r>
        <w:rPr>
          <w:rFonts w:hint="eastAsia" w:ascii="Times New Roman" w:hAnsi="Times New Roman"/>
          <w:color w:val="000000" w:themeColor="text1"/>
          <w:sz w:val="24"/>
          <w:szCs w:val="24"/>
          <w14:textFill>
            <w14:solidFill>
              <w14:schemeClr w14:val="tx1"/>
            </w14:solidFill>
          </w14:textFill>
        </w:rPr>
        <w:t>，现有教职工2300余人，博士学位教师占比76.1%，高级职称教师占比50.9%，含国家级重点人才项目获得者17人、省部级以上人才123人，博士生导师202人，能为学员提供高质量指导。学校开放办学成果丰硕，与52个国家和地区的204所高校建立合作关系，加入14个国际专业联盟，通过AACSB、EFMD等多项国际认证，获评ACCA白金级教育机构，为学员搭建广阔的国际交流平台。</w:t>
      </w:r>
    </w:p>
    <w:p w14:paraId="0DCAC347">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学校办学底蕴深厚，秉承“信敏廉毅”校训，培养了30余万名优秀人才，毕业生薪酬指数位列全国高校第57位。四个校区占地2200余亩，馆藏图书1781万册，教学设施完善。同时，学校构建了覆盖国家部委、地方发展的全方位社会服务体系，其智库成果获中央和省部级领导广泛批示，能为学员提供丰富的实践资源与行业视野，是国际商务专业同等学力深造的优质之选。</w:t>
      </w:r>
    </w:p>
    <w:p w14:paraId="796947E0">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ascii="Times New Roman" w:hAnsi="Times New Roman"/>
          <w:color w:val="auto"/>
          <w:sz w:val="24"/>
          <w:szCs w:val="24"/>
        </w:rPr>
      </w:pPr>
      <w:r>
        <w:rPr>
          <w:rFonts w:hint="eastAsia" w:ascii="Times New Roman" w:hAnsi="Times New Roman"/>
          <w:color w:val="000000" w:themeColor="text1"/>
          <w:sz w:val="24"/>
          <w:szCs w:val="24"/>
          <w14:textFill>
            <w14:solidFill>
              <w14:schemeClr w14:val="tx1"/>
            </w14:solidFill>
          </w14:textFill>
        </w:rPr>
        <w:t>国际贸易学是应用经济学一级学科的二级学科分支，是一门以经济学理论为基础，研究货物、服务跨境交换与生产要素国际间流动的学科。国际贸易学的理论部分主要研究国际贸易产生的原因、贸易模式、贸易利益及其变化和影响，以及国际直接投资的形成和发展原因及其影响；国际贸易学的政策部分主要分析国际贸易和国际直接投资政策的理论基础、各类贸易和投资政策措施及其影响。</w:t>
      </w:r>
    </w:p>
    <w:p w14:paraId="3BC93B26">
      <w:pPr>
        <w:pageBreakBefore w:val="0"/>
        <w:numPr>
          <w:ilvl w:val="0"/>
          <w:numId w:val="0"/>
        </w:numPr>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bCs/>
          <w:color w:val="000000" w:themeColor="text1"/>
          <w:sz w:val="24"/>
          <w:szCs w:val="24"/>
          <w:lang w:val="en-US" w:eastAsia="zh-Hans"/>
          <w14:textFill>
            <w14:solidFill>
              <w14:schemeClr w14:val="tx1"/>
            </w14:solidFill>
          </w14:textFill>
        </w:rPr>
      </w:pPr>
      <w:r>
        <w:rPr>
          <w:rFonts w:hint="eastAsia" w:ascii="黑体" w:hAnsi="宋体" w:eastAsia="黑体"/>
          <w:bCs/>
          <w:color w:val="000000" w:themeColor="text1"/>
          <w:sz w:val="24"/>
          <w:szCs w:val="24"/>
          <w:lang w:val="en-US" w:eastAsia="zh-CN"/>
          <w14:textFill>
            <w14:solidFill>
              <w14:schemeClr w14:val="tx1"/>
            </w14:solidFill>
          </w14:textFill>
        </w:rPr>
        <w:t>二、培养</w:t>
      </w:r>
      <w:r>
        <w:rPr>
          <w:rFonts w:hint="eastAsia" w:ascii="黑体" w:hAnsi="宋体" w:eastAsia="黑体"/>
          <w:bCs/>
          <w:color w:val="000000" w:themeColor="text1"/>
          <w:sz w:val="24"/>
          <w:szCs w:val="24"/>
          <w:lang w:val="en-US" w:eastAsia="zh-Hans"/>
          <w14:textFill>
            <w14:solidFill>
              <w14:schemeClr w14:val="tx1"/>
            </w14:solidFill>
          </w14:textFill>
        </w:rPr>
        <w:t>方向</w:t>
      </w:r>
    </w:p>
    <w:p w14:paraId="07D9E00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rPr>
      </w:pPr>
      <w:r>
        <w:rPr>
          <w:rFonts w:hint="eastAsia" w:ascii="Times New Roman" w:hAnsi="Times New Roman"/>
          <w:color w:val="auto"/>
          <w:sz w:val="24"/>
          <w:szCs w:val="24"/>
        </w:rPr>
        <w:t>方向1：数字贸易与绿色贸易研究</w:t>
      </w:r>
    </w:p>
    <w:p w14:paraId="73B111C4">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rPr>
      </w:pPr>
      <w:r>
        <w:rPr>
          <w:rFonts w:hint="eastAsia" w:ascii="Times New Roman" w:hAnsi="Times New Roman"/>
          <w:color w:val="auto"/>
          <w:sz w:val="24"/>
          <w:szCs w:val="24"/>
        </w:rPr>
        <w:t>主要研究内容：数字产业、数字贸易规则、大数据分析、互联网商业模式创新、智能营销、数字经济、国别数字贸易、数字化平台、数字化贸易管理、跨境电子商务理论与实务、绿色贸易政策与规制、绿色产业与贸易实践等。</w:t>
      </w:r>
    </w:p>
    <w:p w14:paraId="408B203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rPr>
      </w:pPr>
      <w:r>
        <w:rPr>
          <w:rFonts w:hint="eastAsia" w:ascii="Times New Roman" w:hAnsi="Times New Roman"/>
          <w:color w:val="auto"/>
          <w:sz w:val="24"/>
          <w:szCs w:val="24"/>
        </w:rPr>
        <w:t>方向2：全球价值链研究</w:t>
      </w:r>
    </w:p>
    <w:p w14:paraId="56A61ABD">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rPr>
      </w:pPr>
      <w:r>
        <w:rPr>
          <w:rFonts w:hint="eastAsia" w:ascii="Times New Roman" w:hAnsi="Times New Roman"/>
          <w:color w:val="auto"/>
          <w:sz w:val="24"/>
          <w:szCs w:val="24"/>
        </w:rPr>
        <w:t>主要研究内容：全球价值链理论、动力机制、治理机制、沿价值链产业升级模式、全球价值链案例研究、价值链分析方法等。</w:t>
      </w:r>
    </w:p>
    <w:p w14:paraId="2D22C7F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rPr>
      </w:pPr>
      <w:r>
        <w:rPr>
          <w:rFonts w:hint="eastAsia" w:ascii="Times New Roman" w:hAnsi="Times New Roman"/>
          <w:color w:val="auto"/>
          <w:sz w:val="24"/>
          <w:szCs w:val="24"/>
        </w:rPr>
        <w:t>方向3：国际贸易理论与政策</w:t>
      </w:r>
    </w:p>
    <w:p w14:paraId="7087BD9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auto"/>
          <w:sz w:val="24"/>
          <w:szCs w:val="24"/>
        </w:rPr>
        <w:t>主要研究内容：各流派的贸易理论、贸易政策与经济发展、区域贸易协议及区域贸易安排、双边贸易协定与实践、自由贸易试验区理论与实践、对外投资理论与境外合作区实践、进出口政策、世界各国贸易政策、国别经济与贸易、中国及地方政府贸易投资政策等。</w:t>
      </w:r>
    </w:p>
    <w:p w14:paraId="60640AB2">
      <w:pPr>
        <w:pageBreakBefore w:val="0"/>
        <w:numPr>
          <w:ilvl w:val="0"/>
          <w:numId w:val="0"/>
        </w:numPr>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bCs/>
          <w:color w:val="000000" w:themeColor="text1"/>
          <w:sz w:val="24"/>
          <w:szCs w:val="24"/>
          <w:lang w:val="en-US" w:eastAsia="zh-Hans"/>
          <w14:textFill>
            <w14:solidFill>
              <w14:schemeClr w14:val="tx1"/>
            </w14:solidFill>
          </w14:textFill>
        </w:rPr>
      </w:pPr>
      <w:r>
        <w:rPr>
          <w:rFonts w:hint="eastAsia" w:ascii="黑体" w:hAnsi="宋体" w:eastAsia="黑体"/>
          <w:bCs/>
          <w:color w:val="000000" w:themeColor="text1"/>
          <w:sz w:val="24"/>
          <w:szCs w:val="24"/>
          <w:lang w:val="en-US" w:eastAsia="zh-CN"/>
          <w14:textFill>
            <w14:solidFill>
              <w14:schemeClr w14:val="tx1"/>
            </w14:solidFill>
          </w14:textFill>
        </w:rPr>
        <w:t>三、</w:t>
      </w:r>
      <w:r>
        <w:rPr>
          <w:rFonts w:hint="eastAsia" w:ascii="黑体" w:hAnsi="宋体" w:eastAsia="黑体"/>
          <w:bCs/>
          <w:color w:val="000000" w:themeColor="text1"/>
          <w:sz w:val="24"/>
          <w:szCs w:val="24"/>
          <w14:textFill>
            <w14:solidFill>
              <w14:schemeClr w14:val="tx1"/>
            </w14:solidFill>
          </w14:textFill>
        </w:rPr>
        <w:t>培养目标和基本要求</w:t>
      </w:r>
    </w:p>
    <w:p w14:paraId="117CEFB0">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1</w:t>
      </w:r>
      <w:r>
        <w:rPr>
          <w:rFonts w:hint="eastAsia" w:ascii="Times New Roman" w:hAnsi="Times New Roman"/>
          <w:color w:val="auto"/>
          <w:sz w:val="24"/>
          <w:szCs w:val="24"/>
          <w:lang w:val="en-US" w:eastAsia="zh-CN"/>
        </w:rPr>
        <w:t>.</w:t>
      </w:r>
      <w:r>
        <w:rPr>
          <w:rFonts w:hint="eastAsia" w:ascii="Times New Roman" w:hAnsi="Times New Roman"/>
          <w:color w:val="auto"/>
          <w:sz w:val="24"/>
          <w:szCs w:val="24"/>
          <w:lang w:eastAsia="zh-CN"/>
        </w:rPr>
        <w:t>掌握马克思主义基本理论，树立科学的世界观，坚持党的基本路线，热爱祖国；遵纪守法，品行端正；具有服务国家和人民的高度社会责任感；坚守学术诚信，具有良好的科研道德和创新精神；坚持科学严谨和求真务实的学习态度。</w:t>
      </w:r>
    </w:p>
    <w:p w14:paraId="082D9E8C">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2</w:t>
      </w:r>
      <w:r>
        <w:rPr>
          <w:rFonts w:hint="eastAsia" w:ascii="Times New Roman" w:hAnsi="Times New Roman"/>
          <w:color w:val="auto"/>
          <w:sz w:val="24"/>
          <w:szCs w:val="24"/>
          <w:lang w:val="en-US" w:eastAsia="zh-CN"/>
        </w:rPr>
        <w:t>.</w:t>
      </w:r>
      <w:r>
        <w:rPr>
          <w:rFonts w:hint="eastAsia" w:ascii="Times New Roman" w:hAnsi="Times New Roman"/>
          <w:color w:val="auto"/>
          <w:sz w:val="24"/>
          <w:szCs w:val="24"/>
          <w:lang w:eastAsia="zh-CN"/>
        </w:rPr>
        <w:t>掌握坚实的经济学基础理论和系统的国际贸易学专门知识；能够理论联系实际，对我国贸易政策有较强的解读能力，具有较高的政策水平和较强的发现问题、分析问题和解决问题能力；能够比较熟练地运用一门外国语阅读本专业的外文资料；具有良好的职业素养和较强的创新创业能力。能够从事科学研究工作或独立承担专门技术工作，能胜任国际组织或政府部门国际贸易管理、国际贸易公司、跨国公司经营工作。</w:t>
      </w:r>
    </w:p>
    <w:p w14:paraId="483F5B6C">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ascii="Times New Roman" w:hAnsi="Times New Roman"/>
          <w:sz w:val="24"/>
          <w:szCs w:val="24"/>
        </w:rPr>
      </w:pPr>
      <w:r>
        <w:rPr>
          <w:rFonts w:hint="eastAsia" w:ascii="Times New Roman" w:hAnsi="Times New Roman"/>
          <w:color w:val="auto"/>
          <w:sz w:val="24"/>
          <w:szCs w:val="24"/>
          <w:lang w:eastAsia="zh-CN"/>
        </w:rPr>
        <w:t>3</w:t>
      </w:r>
      <w:r>
        <w:rPr>
          <w:rFonts w:hint="eastAsia" w:ascii="Times New Roman" w:hAnsi="Times New Roman"/>
          <w:color w:val="auto"/>
          <w:sz w:val="24"/>
          <w:szCs w:val="24"/>
          <w:lang w:val="en-US" w:eastAsia="zh-CN"/>
        </w:rPr>
        <w:t>.</w:t>
      </w:r>
      <w:r>
        <w:rPr>
          <w:rFonts w:hint="eastAsia" w:ascii="Times New Roman" w:hAnsi="Times New Roman"/>
          <w:color w:val="auto"/>
          <w:sz w:val="24"/>
          <w:szCs w:val="24"/>
          <w:lang w:eastAsia="zh-CN"/>
        </w:rPr>
        <w:t>具有强健的体魄和良好的心理素质。</w:t>
      </w:r>
    </w:p>
    <w:p w14:paraId="4369E2A0">
      <w:pPr>
        <w:keepNext w:val="0"/>
        <w:keepLines w:val="0"/>
        <w:pageBreakBefore w:val="0"/>
        <w:widowControl w:val="0"/>
        <w:numPr>
          <w:ilvl w:val="0"/>
          <w:numId w:val="0"/>
        </w:numPr>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bCs/>
          <w:color w:val="000000" w:themeColor="text1"/>
          <w:sz w:val="24"/>
          <w:szCs w:val="24"/>
          <w14:textFill>
            <w14:solidFill>
              <w14:schemeClr w14:val="tx1"/>
            </w14:solidFill>
          </w14:textFill>
        </w:rPr>
      </w:pPr>
      <w:r>
        <w:rPr>
          <w:rFonts w:hint="eastAsia" w:ascii="黑体" w:hAnsi="宋体" w:eastAsia="黑体"/>
          <w:bCs/>
          <w:color w:val="000000" w:themeColor="text1"/>
          <w:sz w:val="24"/>
          <w:szCs w:val="24"/>
          <w:lang w:val="en-US" w:eastAsia="zh-CN"/>
          <w14:textFill>
            <w14:solidFill>
              <w14:schemeClr w14:val="tx1"/>
            </w14:solidFill>
          </w14:textFill>
        </w:rPr>
        <w:t>四、申请条件</w:t>
      </w:r>
    </w:p>
    <w:p w14:paraId="4E59F07F">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1.拥护《中华人民共和国宪法》，遵守法律、法规，品行端正。</w:t>
      </w:r>
    </w:p>
    <w:p w14:paraId="6BE659B6">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2.具有大学本科学历，获得学士学位，，并获得学士学位三年以上(含三年)，虽无本科学士学位但已获得硕士或博士学位者。对已获得的学士、硕士或博士学位为国(境)外学位的，其所获的国(境)外学位需经教育部留学服务中心认证。</w:t>
      </w:r>
    </w:p>
    <w:p w14:paraId="0E081928">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3.学士学位未满三年可以先入学课程学习，待满三年参加全国统一考试后方可申请硕士学位。</w:t>
      </w:r>
    </w:p>
    <w:p w14:paraId="4C87BC16">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sz w:val="24"/>
          <w:szCs w:val="24"/>
          <w:lang w:val="en-US" w:eastAsia="zh-CN"/>
        </w:rPr>
      </w:pPr>
      <w:r>
        <w:rPr>
          <w:rFonts w:hint="eastAsia" w:ascii="Times New Roman" w:hAnsi="Times New Roman"/>
          <w:sz w:val="24"/>
          <w:szCs w:val="24"/>
          <w:lang w:val="en-US" w:eastAsia="zh-CN"/>
        </w:rPr>
        <w:t>4.具有大学本科学历，但无学士学位或大专学历者可参加课程学习，获得江西财经大学研究生课程结业证书，但不得参加硕士学位申请。</w:t>
      </w:r>
    </w:p>
    <w:p w14:paraId="3F624D42">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bCs/>
          <w:color w:val="000000" w:themeColor="text1"/>
          <w:sz w:val="24"/>
          <w:szCs w:val="24"/>
          <w:lang w:val="en-US" w:eastAsia="zh-CN"/>
          <w14:textFill>
            <w14:solidFill>
              <w14:schemeClr w14:val="tx1"/>
            </w14:solidFill>
          </w14:textFill>
        </w:rPr>
      </w:pPr>
      <w:r>
        <w:rPr>
          <w:rFonts w:hint="eastAsia" w:ascii="黑体" w:hAnsi="宋体" w:eastAsia="黑体"/>
          <w:bCs/>
          <w:color w:val="000000" w:themeColor="text1"/>
          <w:sz w:val="24"/>
          <w:szCs w:val="24"/>
          <w:lang w:val="en-US" w:eastAsia="zh-Hans"/>
          <w14:textFill>
            <w14:solidFill>
              <w14:schemeClr w14:val="tx1"/>
            </w14:solidFill>
          </w14:textFill>
        </w:rPr>
        <w:t>五、</w:t>
      </w:r>
      <w:r>
        <w:rPr>
          <w:rFonts w:hint="eastAsia" w:ascii="黑体" w:hAnsi="宋体" w:eastAsia="黑体"/>
          <w:bCs/>
          <w:color w:val="000000" w:themeColor="text1"/>
          <w:sz w:val="24"/>
          <w:szCs w:val="24"/>
          <w:lang w:val="en-US" w:eastAsia="zh-CN"/>
          <w14:textFill>
            <w14:solidFill>
              <w14:schemeClr w14:val="tx1"/>
            </w14:solidFill>
          </w14:textFill>
        </w:rPr>
        <w:t>同等学力申硕课程学习阶段和学位论文阶段相关要求</w:t>
      </w:r>
    </w:p>
    <w:p w14:paraId="2AB16562">
      <w:pPr>
        <w:pStyle w:val="8"/>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right="0" w:rightChars="0"/>
        <w:jc w:val="both"/>
        <w:textAlignment w:val="auto"/>
        <w:outlineLvl w:val="9"/>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同等学力人员申请硕士学位分为三个阶段：课程学习培养阶段(简称第一阶段)、全国统一考试阶段(简称第二阶段)和撰写学位论文及答辩阶段(简称第三阶段)。</w:t>
      </w:r>
    </w:p>
    <w:p w14:paraId="495AA7F0">
      <w:pPr>
        <w:pStyle w:val="8"/>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right="0" w:rightChars="0"/>
        <w:jc w:val="both"/>
        <w:textAlignment w:val="auto"/>
        <w:outlineLvl w:val="9"/>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1</w:t>
      </w:r>
      <w:r>
        <w:rPr>
          <w:rFonts w:hint="eastAsia" w:ascii="Times New Roman" w:hAnsi="Times New Roman"/>
          <w:color w:val="auto"/>
          <w:sz w:val="24"/>
          <w:szCs w:val="24"/>
          <w:lang w:val="en-US" w:eastAsia="zh-CN"/>
        </w:rPr>
        <w:t>.</w:t>
      </w:r>
      <w:r>
        <w:rPr>
          <w:rFonts w:hint="eastAsia" w:ascii="Times New Roman" w:hAnsi="Times New Roman"/>
          <w:color w:val="auto"/>
          <w:sz w:val="24"/>
          <w:szCs w:val="24"/>
          <w:lang w:eastAsia="zh-CN"/>
        </w:rPr>
        <w:t>第一阶段(课程学习)：申请人自通过资格审查之日起，按学校教学进度安排，修完江西财经大学同等学力规定的全部课程，按要求参加课程考试，成绩合格，可获待江西财经大学硏究生课程结业证书(为同等学力教育)。课程学习期一般为1年，每月集中双休日授课。</w:t>
      </w:r>
    </w:p>
    <w:p w14:paraId="273003FB">
      <w:pPr>
        <w:pStyle w:val="8"/>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right="0" w:rightChars="0"/>
        <w:jc w:val="both"/>
        <w:textAlignment w:val="auto"/>
        <w:outlineLvl w:val="9"/>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2</w:t>
      </w:r>
      <w:r>
        <w:rPr>
          <w:rFonts w:hint="eastAsia" w:ascii="Times New Roman" w:hAnsi="Times New Roman"/>
          <w:color w:val="auto"/>
          <w:sz w:val="24"/>
          <w:szCs w:val="24"/>
          <w:lang w:val="en-US" w:eastAsia="zh-CN"/>
        </w:rPr>
        <w:t>.</w:t>
      </w:r>
      <w:r>
        <w:rPr>
          <w:rFonts w:hint="eastAsia" w:ascii="Times New Roman" w:hAnsi="Times New Roman"/>
          <w:color w:val="auto"/>
          <w:sz w:val="24"/>
          <w:szCs w:val="24"/>
          <w:lang w:eastAsia="zh-CN"/>
        </w:rPr>
        <w:t>第二阶段(全国统一考试)：获得学士学位满3年并修满学校规定的学分者，申请同等学力人员申请硕士学位外国语水平全国统一考试和学科专业综合考试。(每年一次)。</w:t>
      </w:r>
    </w:p>
    <w:p w14:paraId="73C684B3">
      <w:pPr>
        <w:pStyle w:val="8"/>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right="0" w:rightChars="0"/>
        <w:jc w:val="both"/>
        <w:textAlignment w:val="auto"/>
        <w:outlineLvl w:val="9"/>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3</w:t>
      </w:r>
      <w:r>
        <w:rPr>
          <w:rFonts w:hint="eastAsia" w:ascii="Times New Roman" w:hAnsi="Times New Roman"/>
          <w:color w:val="auto"/>
          <w:sz w:val="24"/>
          <w:szCs w:val="24"/>
          <w:lang w:val="en-US" w:eastAsia="zh-CN"/>
        </w:rPr>
        <w:t>.</w:t>
      </w:r>
      <w:r>
        <w:rPr>
          <w:rFonts w:hint="eastAsia" w:ascii="Times New Roman" w:hAnsi="Times New Roman"/>
          <w:color w:val="auto"/>
          <w:sz w:val="24"/>
          <w:szCs w:val="24"/>
          <w:lang w:eastAsia="zh-CN"/>
        </w:rPr>
        <w:t>第三阶段(论文写作答辩)：全国统一组织的外国语水平考试及学科专业综合考试成绩合格者，并完成研究生课程学习者方可进入硕士学位论文写作阶段。</w:t>
      </w:r>
    </w:p>
    <w:p w14:paraId="3A9E7A4B">
      <w:pPr>
        <w:pStyle w:val="8"/>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right="0" w:rightChars="0"/>
        <w:jc w:val="both"/>
        <w:textAlignment w:val="auto"/>
        <w:outlineLvl w:val="9"/>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论文通过评审、答辩，经我校学位委员会批准，授予国务院学位委员会统一颁发的硕士学位证书。学位论文及答辩阶段一般为1年，四年内未全部通过课程和全国统一考试者，所修课程学分无效。</w:t>
      </w:r>
    </w:p>
    <w:p w14:paraId="7EB62357">
      <w:pPr>
        <w:pStyle w:val="8"/>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right="0" w:rightChars="0"/>
        <w:jc w:val="both"/>
        <w:textAlignment w:val="auto"/>
        <w:outlineLvl w:val="9"/>
        <w:rPr>
          <w:rFonts w:hint="eastAsia" w:ascii="Times New Roman" w:hAnsi="Times New Roman"/>
          <w:color w:val="auto"/>
          <w:sz w:val="24"/>
          <w:szCs w:val="24"/>
          <w:lang w:eastAsia="zh-CN"/>
        </w:rPr>
      </w:pPr>
      <w:r>
        <w:rPr>
          <w:rFonts w:hint="eastAsia" w:ascii="Times New Roman" w:hAnsi="Times New Roman"/>
          <w:color w:val="auto"/>
          <w:sz w:val="24"/>
          <w:szCs w:val="24"/>
          <w:lang w:eastAsia="zh-CN"/>
        </w:rPr>
        <w:t>注：申请人必须在完成规定学分并通过全国外语水平统考和学科专业综合考试后一年内向学校提出学位论文申请。全国统一组织的外国语水平考试和学科专业综合考试每年3月初报名，5月下旬考试。外语统考约4级水平。</w:t>
      </w:r>
    </w:p>
    <w:p w14:paraId="2AA87C44">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bCs/>
          <w:color w:val="000000" w:themeColor="text1"/>
          <w:sz w:val="24"/>
          <w:szCs w:val="24"/>
          <w:lang w:eastAsia="zh-CN"/>
          <w14:textFill>
            <w14:solidFill>
              <w14:schemeClr w14:val="tx1"/>
            </w14:solidFill>
          </w14:textFill>
        </w:rPr>
      </w:pPr>
      <w:r>
        <w:rPr>
          <w:rFonts w:hint="eastAsia" w:ascii="黑体" w:hAnsi="宋体" w:eastAsia="黑体"/>
          <w:bCs/>
          <w:color w:val="000000" w:themeColor="text1"/>
          <w:sz w:val="24"/>
          <w:szCs w:val="24"/>
          <w:lang w:val="en-US" w:eastAsia="zh-Hans"/>
          <w14:textFill>
            <w14:solidFill>
              <w14:schemeClr w14:val="tx1"/>
            </w14:solidFill>
          </w14:textFill>
        </w:rPr>
        <w:t>六、</w:t>
      </w:r>
      <w:r>
        <w:rPr>
          <w:rFonts w:hint="eastAsia" w:ascii="黑体" w:hAnsi="宋体" w:eastAsia="黑体"/>
          <w:bCs/>
          <w:color w:val="000000" w:themeColor="text1"/>
          <w:sz w:val="24"/>
          <w:szCs w:val="24"/>
          <w:lang w:val="en-US" w:eastAsia="zh-CN"/>
          <w14:textFill>
            <w14:solidFill>
              <w14:schemeClr w14:val="tx1"/>
            </w14:solidFill>
          </w14:textFill>
        </w:rPr>
        <w:t>缴纳学费</w:t>
      </w:r>
    </w:p>
    <w:p w14:paraId="759711FD">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auto"/>
          <w:sz w:val="24"/>
          <w:szCs w:val="24"/>
        </w:rPr>
      </w:pPr>
      <w:r>
        <w:rPr>
          <w:rFonts w:hint="eastAsia" w:ascii="Times New Roman" w:hAnsi="Times New Roman"/>
          <w:color w:val="auto"/>
          <w:sz w:val="24"/>
          <w:szCs w:val="24"/>
        </w:rPr>
        <w:t>根据我校下发的《江西财经大学同等学力人员申请硕士学位收入管理办法》的通知（江财财务字【2022】4号）文件精神，从即日起，学费缴纳分两段制进行，即课程学习阶段和撰写学位论文及答辩阶段。课程学习阶段学费为15000元，教材、资料自理。撰写学位论文及答辩阶段学费为</w:t>
      </w:r>
      <w:r>
        <w:rPr>
          <w:rFonts w:hint="eastAsia" w:ascii="Times New Roman" w:hAnsi="Times New Roman"/>
          <w:color w:val="auto"/>
          <w:sz w:val="24"/>
          <w:szCs w:val="24"/>
          <w:lang w:val="en-US" w:eastAsia="zh-CN"/>
        </w:rPr>
        <w:t>8</w:t>
      </w:r>
      <w:r>
        <w:rPr>
          <w:rFonts w:hint="eastAsia" w:ascii="Times New Roman" w:hAnsi="Times New Roman"/>
          <w:color w:val="auto"/>
          <w:sz w:val="24"/>
          <w:szCs w:val="24"/>
        </w:rPr>
        <w:t>000元，各项收费实际以学校相关规定为准。学生缴纳相关费用后，可获得学校财务处开具的电子缴费发票。</w:t>
      </w:r>
    </w:p>
    <w:p w14:paraId="79935901">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cs="Times New Roman"/>
          <w:bCs/>
          <w:color w:val="000000" w:themeColor="text1"/>
          <w:sz w:val="24"/>
          <w:szCs w:val="24"/>
          <w:lang w:val="en-US" w:eastAsia="zh-CN"/>
          <w14:textFill>
            <w14:solidFill>
              <w14:schemeClr w14:val="tx1"/>
            </w14:solidFill>
          </w14:textFill>
        </w:rPr>
      </w:pPr>
      <w:r>
        <w:rPr>
          <w:rFonts w:hint="eastAsia" w:ascii="黑体" w:hAnsi="宋体" w:eastAsia="黑体" w:cs="Times New Roman"/>
          <w:bCs/>
          <w:color w:val="000000" w:themeColor="text1"/>
          <w:sz w:val="24"/>
          <w:szCs w:val="24"/>
          <w:lang w:val="en-US" w:eastAsia="zh-Hans"/>
          <w14:textFill>
            <w14:solidFill>
              <w14:schemeClr w14:val="tx1"/>
            </w14:solidFill>
          </w14:textFill>
        </w:rPr>
        <w:t>七、</w:t>
      </w:r>
      <w:r>
        <w:rPr>
          <w:rFonts w:hint="eastAsia" w:ascii="黑体" w:hAnsi="宋体" w:eastAsia="黑体" w:cs="Times New Roman"/>
          <w:bCs/>
          <w:color w:val="000000" w:themeColor="text1"/>
          <w:sz w:val="24"/>
          <w:szCs w:val="24"/>
          <w:lang w:val="en-US" w:eastAsia="zh-CN"/>
          <w14:textFill>
            <w14:solidFill>
              <w14:schemeClr w14:val="tx1"/>
            </w14:solidFill>
          </w14:textFill>
        </w:rPr>
        <w:t>课程设置</w:t>
      </w:r>
    </w:p>
    <w:p w14:paraId="72F805B7">
      <w:pPr>
        <w:pStyle w:val="8"/>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right="0" w:rightChars="0"/>
        <w:jc w:val="both"/>
        <w:textAlignment w:val="auto"/>
        <w:outlineLvl w:val="9"/>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课程设置以我校本专业现行硕士研究生培养方案为基本依据。有公共课、必修课、选修课三大类，总计共修11门课，共28学分。所有课程均有教学经验丰富，学术水平高的具有高级职称或拥有博士学位的教师主讲。</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2298"/>
        <w:gridCol w:w="3188"/>
        <w:gridCol w:w="1217"/>
        <w:gridCol w:w="1596"/>
      </w:tblGrid>
      <w:tr w14:paraId="7913D3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79" w:hRule="atLeast"/>
          <w:jc w:val="center"/>
        </w:trPr>
        <w:tc>
          <w:tcPr>
            <w:tcW w:w="2298" w:type="dxa"/>
            <w:vMerge w:val="restart"/>
            <w:noWrap w:val="0"/>
            <w:vAlign w:val="center"/>
          </w:tcPr>
          <w:p w14:paraId="5651C8D8">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 xml:space="preserve">课 程 </w:t>
            </w:r>
            <w:r>
              <w:rPr>
                <w:rFonts w:hint="eastAsia" w:ascii="仿宋" w:hAnsi="仿宋" w:eastAsia="仿宋" w:cs="仿宋"/>
                <w:sz w:val="24"/>
                <w:szCs w:val="24"/>
                <w:lang w:val="en-US" w:eastAsia="zh-CN"/>
              </w:rPr>
              <w:t>类 别</w:t>
            </w:r>
          </w:p>
        </w:tc>
        <w:tc>
          <w:tcPr>
            <w:tcW w:w="3188" w:type="dxa"/>
            <w:vMerge w:val="restart"/>
            <w:noWrap w:val="0"/>
            <w:vAlign w:val="center"/>
          </w:tcPr>
          <w:p w14:paraId="7341918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课 程 名 称</w:t>
            </w:r>
          </w:p>
        </w:tc>
        <w:tc>
          <w:tcPr>
            <w:tcW w:w="1217" w:type="dxa"/>
            <w:vMerge w:val="restart"/>
            <w:noWrap w:val="0"/>
            <w:vAlign w:val="center"/>
          </w:tcPr>
          <w:p w14:paraId="56970434">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r>
              <w:rPr>
                <w:rFonts w:hint="eastAsia" w:ascii="仿宋" w:hAnsi="仿宋" w:eastAsia="仿宋" w:cs="仿宋"/>
                <w:sz w:val="24"/>
                <w:szCs w:val="24"/>
              </w:rPr>
              <w:t>学分</w:t>
            </w:r>
          </w:p>
        </w:tc>
        <w:tc>
          <w:tcPr>
            <w:tcW w:w="1596" w:type="dxa"/>
            <w:vMerge w:val="restart"/>
            <w:noWrap w:val="0"/>
            <w:vAlign w:val="center"/>
          </w:tcPr>
          <w:p w14:paraId="34157F3B">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授课方式</w:t>
            </w:r>
          </w:p>
        </w:tc>
      </w:tr>
      <w:tr w14:paraId="6542C5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69" w:hRule="atLeast"/>
          <w:jc w:val="center"/>
        </w:trPr>
        <w:tc>
          <w:tcPr>
            <w:tcW w:w="2298" w:type="dxa"/>
            <w:vMerge w:val="continue"/>
            <w:noWrap w:val="0"/>
            <w:vAlign w:val="center"/>
          </w:tcPr>
          <w:p w14:paraId="04A82429">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3188" w:type="dxa"/>
            <w:vMerge w:val="continue"/>
            <w:noWrap w:val="0"/>
            <w:vAlign w:val="center"/>
          </w:tcPr>
          <w:p w14:paraId="2E393C8A">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1217" w:type="dxa"/>
            <w:vMerge w:val="continue"/>
            <w:noWrap w:val="0"/>
            <w:vAlign w:val="center"/>
          </w:tcPr>
          <w:p w14:paraId="3B81F5B7">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1596" w:type="dxa"/>
            <w:vMerge w:val="continue"/>
            <w:noWrap w:val="0"/>
            <w:vAlign w:val="center"/>
          </w:tcPr>
          <w:p w14:paraId="65025514">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2FBF62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78" w:hRule="atLeast"/>
          <w:jc w:val="center"/>
        </w:trPr>
        <w:tc>
          <w:tcPr>
            <w:tcW w:w="2298" w:type="dxa"/>
            <w:vMerge w:val="restart"/>
            <w:tcBorders>
              <w:right w:val="single" w:color="auto" w:sz="4" w:space="0"/>
            </w:tcBorders>
            <w:noWrap w:val="0"/>
            <w:vAlign w:val="center"/>
          </w:tcPr>
          <w:p w14:paraId="33B8F8E8">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公共课（4门）</w:t>
            </w:r>
          </w:p>
        </w:tc>
        <w:tc>
          <w:tcPr>
            <w:tcW w:w="3188" w:type="dxa"/>
            <w:noWrap w:val="0"/>
            <w:vAlign w:val="center"/>
          </w:tcPr>
          <w:p w14:paraId="07275EED">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公共英语（精读、听说）</w:t>
            </w:r>
          </w:p>
        </w:tc>
        <w:tc>
          <w:tcPr>
            <w:tcW w:w="1217" w:type="dxa"/>
            <w:noWrap w:val="0"/>
            <w:vAlign w:val="center"/>
          </w:tcPr>
          <w:p w14:paraId="3D939111">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596" w:type="dxa"/>
            <w:vMerge w:val="restart"/>
            <w:noWrap w:val="0"/>
            <w:vAlign w:val="center"/>
          </w:tcPr>
          <w:p w14:paraId="7D571B7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rPr>
            </w:pPr>
            <w:r>
              <w:rPr>
                <w:rFonts w:hint="eastAsia" w:ascii="仿宋" w:hAnsi="仿宋" w:eastAsia="仿宋" w:cs="仿宋"/>
                <w:sz w:val="24"/>
                <w:szCs w:val="24"/>
                <w:lang w:val="en-US" w:eastAsia="zh-CN"/>
              </w:rPr>
              <w:t>线上</w:t>
            </w:r>
          </w:p>
        </w:tc>
      </w:tr>
      <w:tr w14:paraId="774662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78" w:hRule="atLeast"/>
          <w:jc w:val="center"/>
        </w:trPr>
        <w:tc>
          <w:tcPr>
            <w:tcW w:w="2298" w:type="dxa"/>
            <w:vMerge w:val="continue"/>
            <w:tcBorders>
              <w:right w:val="single" w:color="auto" w:sz="4" w:space="0"/>
            </w:tcBorders>
            <w:noWrap w:val="0"/>
            <w:vAlign w:val="center"/>
          </w:tcPr>
          <w:p w14:paraId="5DC9298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3188" w:type="dxa"/>
            <w:noWrap w:val="0"/>
            <w:vAlign w:val="center"/>
          </w:tcPr>
          <w:p w14:paraId="56A8FBA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科学社会主义理论与实践</w:t>
            </w:r>
          </w:p>
        </w:tc>
        <w:tc>
          <w:tcPr>
            <w:tcW w:w="1217" w:type="dxa"/>
            <w:noWrap w:val="0"/>
            <w:vAlign w:val="center"/>
          </w:tcPr>
          <w:p w14:paraId="005F3CAE">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596" w:type="dxa"/>
            <w:vMerge w:val="continue"/>
            <w:noWrap w:val="0"/>
            <w:vAlign w:val="center"/>
          </w:tcPr>
          <w:p w14:paraId="2482290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7F8E618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78" w:hRule="atLeast"/>
          <w:jc w:val="center"/>
        </w:trPr>
        <w:tc>
          <w:tcPr>
            <w:tcW w:w="2298" w:type="dxa"/>
            <w:vMerge w:val="continue"/>
            <w:tcBorders>
              <w:right w:val="single" w:color="auto" w:sz="4" w:space="0"/>
            </w:tcBorders>
            <w:noWrap w:val="0"/>
            <w:vAlign w:val="center"/>
          </w:tcPr>
          <w:p w14:paraId="32E730F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3188" w:type="dxa"/>
            <w:tcBorders>
              <w:bottom w:val="single" w:color="auto" w:sz="4" w:space="0"/>
            </w:tcBorders>
            <w:noWrap w:val="0"/>
            <w:vAlign w:val="center"/>
          </w:tcPr>
          <w:p w14:paraId="681F2B8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中级西方经济学</w:t>
            </w:r>
          </w:p>
        </w:tc>
        <w:tc>
          <w:tcPr>
            <w:tcW w:w="1217" w:type="dxa"/>
            <w:noWrap w:val="0"/>
            <w:vAlign w:val="center"/>
          </w:tcPr>
          <w:p w14:paraId="6DCFD444">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1596" w:type="dxa"/>
            <w:vMerge w:val="continue"/>
            <w:noWrap w:val="0"/>
            <w:vAlign w:val="center"/>
          </w:tcPr>
          <w:p w14:paraId="67DC81E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1F4C34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2D2F1018">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3188" w:type="dxa"/>
            <w:tcBorders>
              <w:bottom w:val="single" w:color="auto" w:sz="4" w:space="0"/>
            </w:tcBorders>
            <w:noWrap w:val="0"/>
            <w:vAlign w:val="center"/>
          </w:tcPr>
          <w:p w14:paraId="7379945F">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AI多智能体开发与实践</w:t>
            </w:r>
          </w:p>
        </w:tc>
        <w:tc>
          <w:tcPr>
            <w:tcW w:w="1217" w:type="dxa"/>
            <w:noWrap w:val="0"/>
            <w:vAlign w:val="center"/>
          </w:tcPr>
          <w:p w14:paraId="60DF8F4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596" w:type="dxa"/>
            <w:vMerge w:val="continue"/>
            <w:noWrap w:val="0"/>
            <w:vAlign w:val="center"/>
          </w:tcPr>
          <w:p w14:paraId="433926DF">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7C2D03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restart"/>
            <w:tcBorders>
              <w:right w:val="single" w:color="auto" w:sz="4" w:space="0"/>
            </w:tcBorders>
            <w:shd w:val="clear" w:color="auto" w:fill="auto"/>
            <w:noWrap w:val="0"/>
            <w:vAlign w:val="center"/>
          </w:tcPr>
          <w:p w14:paraId="57B29318">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专业必修课（5门）</w:t>
            </w:r>
          </w:p>
        </w:tc>
        <w:tc>
          <w:tcPr>
            <w:tcW w:w="3188" w:type="dxa"/>
            <w:tcBorders>
              <w:top w:val="single" w:color="auto" w:sz="4" w:space="0"/>
              <w:bottom w:val="single" w:color="auto" w:sz="4" w:space="0"/>
            </w:tcBorders>
            <w:shd w:val="clear" w:color="auto" w:fill="auto"/>
            <w:noWrap w:val="0"/>
            <w:vAlign w:val="center"/>
          </w:tcPr>
          <w:p w14:paraId="67103F2D">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经济学研究方法</w:t>
            </w:r>
          </w:p>
        </w:tc>
        <w:tc>
          <w:tcPr>
            <w:tcW w:w="1217" w:type="dxa"/>
            <w:tcBorders>
              <w:bottom w:val="single" w:color="auto" w:sz="4" w:space="0"/>
            </w:tcBorders>
            <w:shd w:val="clear" w:color="auto" w:fill="auto"/>
            <w:noWrap w:val="0"/>
            <w:vAlign w:val="center"/>
          </w:tcPr>
          <w:p w14:paraId="676D1EE9">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3</w:t>
            </w:r>
          </w:p>
        </w:tc>
        <w:tc>
          <w:tcPr>
            <w:tcW w:w="1596" w:type="dxa"/>
            <w:vMerge w:val="continue"/>
            <w:shd w:val="clear" w:color="auto" w:fill="auto"/>
            <w:noWrap w:val="0"/>
            <w:vAlign w:val="center"/>
          </w:tcPr>
          <w:p w14:paraId="575C8A03">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2F99C7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shd w:val="clear" w:color="auto" w:fill="auto"/>
            <w:noWrap w:val="0"/>
            <w:vAlign w:val="center"/>
          </w:tcPr>
          <w:p w14:paraId="49018729">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3188" w:type="dxa"/>
            <w:tcBorders>
              <w:top w:val="single" w:color="auto" w:sz="4" w:space="0"/>
              <w:bottom w:val="single" w:color="auto" w:sz="4" w:space="0"/>
            </w:tcBorders>
            <w:shd w:val="clear" w:color="auto" w:fill="auto"/>
            <w:noWrap w:val="0"/>
            <w:vAlign w:val="center"/>
          </w:tcPr>
          <w:p w14:paraId="1CDEA2C8">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国际经济学（中级）</w:t>
            </w:r>
          </w:p>
        </w:tc>
        <w:tc>
          <w:tcPr>
            <w:tcW w:w="1217" w:type="dxa"/>
            <w:tcBorders>
              <w:top w:val="single" w:color="auto" w:sz="4" w:space="0"/>
              <w:bottom w:val="single" w:color="auto" w:sz="4" w:space="0"/>
            </w:tcBorders>
            <w:shd w:val="clear" w:color="auto" w:fill="auto"/>
            <w:noWrap w:val="0"/>
            <w:vAlign w:val="center"/>
          </w:tcPr>
          <w:p w14:paraId="0CF456A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3</w:t>
            </w:r>
          </w:p>
        </w:tc>
        <w:tc>
          <w:tcPr>
            <w:tcW w:w="1596" w:type="dxa"/>
            <w:vMerge w:val="continue"/>
            <w:shd w:val="clear" w:color="auto" w:fill="auto"/>
            <w:noWrap w:val="0"/>
            <w:vAlign w:val="center"/>
          </w:tcPr>
          <w:p w14:paraId="1BC7A08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30AFCB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shd w:val="clear" w:color="auto" w:fill="auto"/>
            <w:noWrap w:val="0"/>
            <w:vAlign w:val="center"/>
          </w:tcPr>
          <w:p w14:paraId="0DE3171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3188" w:type="dxa"/>
            <w:tcBorders>
              <w:top w:val="single" w:color="auto" w:sz="4" w:space="0"/>
              <w:bottom w:val="single" w:color="auto" w:sz="4" w:space="0"/>
            </w:tcBorders>
            <w:shd w:val="clear" w:color="auto" w:fill="auto"/>
            <w:noWrap w:val="0"/>
            <w:vAlign w:val="center"/>
          </w:tcPr>
          <w:p w14:paraId="04AFA165">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数字贸易研究</w:t>
            </w:r>
          </w:p>
        </w:tc>
        <w:tc>
          <w:tcPr>
            <w:tcW w:w="1217" w:type="dxa"/>
            <w:tcBorders>
              <w:top w:val="single" w:color="auto" w:sz="4" w:space="0"/>
              <w:bottom w:val="single" w:color="auto" w:sz="4" w:space="0"/>
            </w:tcBorders>
            <w:shd w:val="clear" w:color="auto" w:fill="auto"/>
            <w:noWrap w:val="0"/>
            <w:vAlign w:val="center"/>
          </w:tcPr>
          <w:p w14:paraId="2667D3CB">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w:t>
            </w:r>
          </w:p>
        </w:tc>
        <w:tc>
          <w:tcPr>
            <w:tcW w:w="1596" w:type="dxa"/>
            <w:vMerge w:val="continue"/>
            <w:shd w:val="clear" w:color="auto" w:fill="auto"/>
            <w:noWrap w:val="0"/>
            <w:vAlign w:val="center"/>
          </w:tcPr>
          <w:p w14:paraId="6A337EAB">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22DBA3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shd w:val="clear" w:color="auto" w:fill="auto"/>
            <w:noWrap w:val="0"/>
            <w:vAlign w:val="center"/>
          </w:tcPr>
          <w:p w14:paraId="5D783CAB">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c>
          <w:tcPr>
            <w:tcW w:w="3188" w:type="dxa"/>
            <w:tcBorders>
              <w:top w:val="single" w:color="auto" w:sz="4" w:space="0"/>
              <w:bottom w:val="single" w:color="auto" w:sz="4" w:space="0"/>
            </w:tcBorders>
            <w:shd w:val="clear" w:color="auto" w:fill="auto"/>
            <w:noWrap w:val="0"/>
            <w:vAlign w:val="center"/>
          </w:tcPr>
          <w:p w14:paraId="466312DE">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全球价值链研究</w:t>
            </w:r>
          </w:p>
        </w:tc>
        <w:tc>
          <w:tcPr>
            <w:tcW w:w="1217" w:type="dxa"/>
            <w:tcBorders>
              <w:top w:val="single" w:color="auto" w:sz="4" w:space="0"/>
              <w:bottom w:val="single" w:color="auto" w:sz="4" w:space="0"/>
            </w:tcBorders>
            <w:shd w:val="clear" w:color="auto" w:fill="auto"/>
            <w:noWrap w:val="0"/>
            <w:vAlign w:val="center"/>
          </w:tcPr>
          <w:p w14:paraId="0E5080CB">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w:t>
            </w:r>
          </w:p>
        </w:tc>
        <w:tc>
          <w:tcPr>
            <w:tcW w:w="1596" w:type="dxa"/>
            <w:vMerge w:val="continue"/>
            <w:shd w:val="clear" w:color="auto" w:fill="auto"/>
            <w:noWrap w:val="0"/>
            <w:vAlign w:val="center"/>
          </w:tcPr>
          <w:p w14:paraId="42326E1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671B7D4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123381E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shd w:val="clear" w:color="auto" w:fill="auto"/>
            <w:noWrap w:val="0"/>
            <w:vAlign w:val="center"/>
          </w:tcPr>
          <w:p w14:paraId="4B180049">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国际贸易前沿问题研究</w:t>
            </w:r>
          </w:p>
        </w:tc>
        <w:tc>
          <w:tcPr>
            <w:tcW w:w="1217" w:type="dxa"/>
            <w:shd w:val="clear" w:color="auto" w:fill="auto"/>
            <w:noWrap w:val="0"/>
            <w:vAlign w:val="center"/>
          </w:tcPr>
          <w:p w14:paraId="0AD8CB17">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2</w:t>
            </w:r>
          </w:p>
        </w:tc>
        <w:tc>
          <w:tcPr>
            <w:tcW w:w="1596" w:type="dxa"/>
            <w:vMerge w:val="continue"/>
            <w:noWrap w:val="0"/>
            <w:vAlign w:val="center"/>
          </w:tcPr>
          <w:p w14:paraId="43CA6A88">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0A523C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restart"/>
            <w:tcBorders>
              <w:right w:val="single" w:color="auto" w:sz="4" w:space="0"/>
            </w:tcBorders>
            <w:noWrap w:val="0"/>
            <w:vAlign w:val="center"/>
          </w:tcPr>
          <w:p w14:paraId="5159AF21">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专业选修课</w:t>
            </w:r>
          </w:p>
          <w:p w14:paraId="047C2091">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（任选2门）</w:t>
            </w:r>
          </w:p>
        </w:tc>
        <w:tc>
          <w:tcPr>
            <w:tcW w:w="3188" w:type="dxa"/>
            <w:tcBorders>
              <w:top w:val="single" w:color="auto" w:sz="4" w:space="0"/>
              <w:bottom w:val="single" w:color="auto" w:sz="4" w:space="0"/>
            </w:tcBorders>
            <w:shd w:val="clear" w:color="auto" w:fill="auto"/>
            <w:noWrap w:val="0"/>
            <w:vAlign w:val="center"/>
          </w:tcPr>
          <w:p w14:paraId="2CE92533">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国际贸易实务研究</w:t>
            </w:r>
          </w:p>
        </w:tc>
        <w:tc>
          <w:tcPr>
            <w:tcW w:w="1217" w:type="dxa"/>
            <w:noWrap w:val="0"/>
            <w:vAlign w:val="center"/>
          </w:tcPr>
          <w:p w14:paraId="0A956D0A">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restart"/>
            <w:noWrap w:val="0"/>
            <w:vAlign w:val="center"/>
          </w:tcPr>
          <w:p w14:paraId="78C0718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线上</w:t>
            </w:r>
          </w:p>
        </w:tc>
      </w:tr>
      <w:tr w14:paraId="6680405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7484B1E1">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bottom w:val="single" w:color="auto" w:sz="4" w:space="0"/>
            </w:tcBorders>
            <w:shd w:val="clear" w:color="auto" w:fill="auto"/>
            <w:noWrap w:val="0"/>
            <w:vAlign w:val="center"/>
          </w:tcPr>
          <w:p w14:paraId="28FC17D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国别经贸专题研究</w:t>
            </w:r>
          </w:p>
        </w:tc>
        <w:tc>
          <w:tcPr>
            <w:tcW w:w="1217" w:type="dxa"/>
            <w:noWrap w:val="0"/>
            <w:vAlign w:val="center"/>
          </w:tcPr>
          <w:p w14:paraId="5883A21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5C15BF10">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2F7145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6A8FA1B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bottom w:val="single" w:color="auto" w:sz="4" w:space="0"/>
            </w:tcBorders>
            <w:shd w:val="clear" w:color="auto" w:fill="auto"/>
            <w:noWrap w:val="0"/>
            <w:vAlign w:val="center"/>
          </w:tcPr>
          <w:p w14:paraId="1FACD5A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贸易政策评价研究</w:t>
            </w:r>
          </w:p>
        </w:tc>
        <w:tc>
          <w:tcPr>
            <w:tcW w:w="1217" w:type="dxa"/>
            <w:noWrap w:val="0"/>
            <w:vAlign w:val="center"/>
          </w:tcPr>
          <w:p w14:paraId="2A52CC1F">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0AA133D1">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1B71CF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7D114BF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bottom w:val="single" w:color="auto" w:sz="4" w:space="0"/>
            </w:tcBorders>
            <w:shd w:val="clear" w:color="auto" w:fill="auto"/>
            <w:noWrap w:val="0"/>
            <w:vAlign w:val="center"/>
          </w:tcPr>
          <w:p w14:paraId="75050E47">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大宗商品贸易研究</w:t>
            </w:r>
          </w:p>
        </w:tc>
        <w:tc>
          <w:tcPr>
            <w:tcW w:w="1217" w:type="dxa"/>
            <w:noWrap w:val="0"/>
            <w:vAlign w:val="center"/>
          </w:tcPr>
          <w:p w14:paraId="622CE623">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24C0971D">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037C3C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5F2A147E">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bottom w:val="single" w:color="auto" w:sz="4" w:space="0"/>
            </w:tcBorders>
            <w:shd w:val="clear" w:color="auto" w:fill="auto"/>
            <w:noWrap w:val="0"/>
            <w:vAlign w:val="center"/>
          </w:tcPr>
          <w:p w14:paraId="5722E49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绿色贸易研究</w:t>
            </w:r>
          </w:p>
        </w:tc>
        <w:tc>
          <w:tcPr>
            <w:tcW w:w="1217" w:type="dxa"/>
            <w:noWrap w:val="0"/>
            <w:vAlign w:val="center"/>
          </w:tcPr>
          <w:p w14:paraId="0D5B410A">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5BD10755">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023BA0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15CFAA00">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bottom w:val="single" w:color="auto" w:sz="4" w:space="0"/>
            </w:tcBorders>
            <w:shd w:val="clear" w:color="auto" w:fill="auto"/>
            <w:noWrap w:val="0"/>
            <w:vAlign w:val="center"/>
          </w:tcPr>
          <w:p w14:paraId="536CAC3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空间经济学</w:t>
            </w:r>
          </w:p>
        </w:tc>
        <w:tc>
          <w:tcPr>
            <w:tcW w:w="1217" w:type="dxa"/>
            <w:noWrap w:val="0"/>
            <w:vAlign w:val="center"/>
          </w:tcPr>
          <w:p w14:paraId="429EDD47">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478F8027">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19CAEB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5A4EF801">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bottom w:val="single" w:color="auto" w:sz="4" w:space="0"/>
            </w:tcBorders>
            <w:shd w:val="clear" w:color="auto" w:fill="auto"/>
            <w:noWrap w:val="0"/>
            <w:vAlign w:val="center"/>
          </w:tcPr>
          <w:p w14:paraId="339E851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跨境电子商务管理</w:t>
            </w:r>
          </w:p>
        </w:tc>
        <w:tc>
          <w:tcPr>
            <w:tcW w:w="1217" w:type="dxa"/>
            <w:noWrap w:val="0"/>
            <w:vAlign w:val="center"/>
          </w:tcPr>
          <w:p w14:paraId="0D4D3677">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5CC5B7F3">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7335F2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0DA84B46">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bottom w:val="single" w:color="auto" w:sz="4" w:space="0"/>
            </w:tcBorders>
            <w:shd w:val="clear" w:color="auto" w:fill="auto"/>
            <w:noWrap w:val="0"/>
            <w:vAlign w:val="center"/>
          </w:tcPr>
          <w:p w14:paraId="44F6C9B9">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国际市场营销研究</w:t>
            </w:r>
          </w:p>
        </w:tc>
        <w:tc>
          <w:tcPr>
            <w:tcW w:w="1217" w:type="dxa"/>
            <w:noWrap w:val="0"/>
            <w:vAlign w:val="center"/>
          </w:tcPr>
          <w:p w14:paraId="6DC0C35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0475445D">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0C2C17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89" w:hRule="atLeast"/>
          <w:jc w:val="center"/>
        </w:trPr>
        <w:tc>
          <w:tcPr>
            <w:tcW w:w="2298" w:type="dxa"/>
            <w:vMerge w:val="continue"/>
            <w:tcBorders>
              <w:right w:val="single" w:color="auto" w:sz="4" w:space="0"/>
            </w:tcBorders>
            <w:noWrap w:val="0"/>
            <w:vAlign w:val="center"/>
          </w:tcPr>
          <w:p w14:paraId="487B423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tcBorders>
              <w:top w:val="single" w:color="auto" w:sz="4" w:space="0"/>
            </w:tcBorders>
            <w:shd w:val="clear" w:color="auto" w:fill="auto"/>
            <w:noWrap w:val="0"/>
            <w:vAlign w:val="center"/>
          </w:tcPr>
          <w:p w14:paraId="4F6E540F">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创新实践课程</w:t>
            </w:r>
          </w:p>
        </w:tc>
        <w:tc>
          <w:tcPr>
            <w:tcW w:w="1217" w:type="dxa"/>
            <w:noWrap w:val="0"/>
            <w:vAlign w:val="center"/>
          </w:tcPr>
          <w:p w14:paraId="37A3D197">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noWrap w:val="0"/>
            <w:vAlign w:val="center"/>
          </w:tcPr>
          <w:p w14:paraId="5CCBA5F0">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5045A2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378" w:hRule="atLeast"/>
          <w:jc w:val="center"/>
        </w:trPr>
        <w:tc>
          <w:tcPr>
            <w:tcW w:w="2298" w:type="dxa"/>
            <w:vMerge w:val="continue"/>
            <w:tcBorders>
              <w:right w:val="single" w:color="auto" w:sz="4" w:space="0"/>
            </w:tcBorders>
            <w:vAlign w:val="center"/>
          </w:tcPr>
          <w:p w14:paraId="5EA81CCB">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shd w:val="clear" w:color="auto" w:fill="auto"/>
            <w:vAlign w:val="center"/>
          </w:tcPr>
          <w:p w14:paraId="03216874">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WTO研究</w:t>
            </w:r>
          </w:p>
        </w:tc>
        <w:tc>
          <w:tcPr>
            <w:tcW w:w="1217" w:type="dxa"/>
            <w:vAlign w:val="center"/>
          </w:tcPr>
          <w:p w14:paraId="0289767E">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vAlign w:val="center"/>
          </w:tcPr>
          <w:p w14:paraId="377F798C">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r w14:paraId="38BDFB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400" w:hRule="atLeast"/>
          <w:jc w:val="center"/>
        </w:trPr>
        <w:tc>
          <w:tcPr>
            <w:tcW w:w="2298" w:type="dxa"/>
            <w:vMerge w:val="continue"/>
            <w:tcBorders>
              <w:right w:val="single" w:color="auto" w:sz="4" w:space="0"/>
            </w:tcBorders>
            <w:vAlign w:val="center"/>
          </w:tcPr>
          <w:p w14:paraId="778EDF52">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p>
        </w:tc>
        <w:tc>
          <w:tcPr>
            <w:tcW w:w="3188" w:type="dxa"/>
            <w:shd w:val="clear" w:color="auto" w:fill="auto"/>
            <w:vAlign w:val="center"/>
          </w:tcPr>
          <w:p w14:paraId="55F8C874">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中国对外贸易研究</w:t>
            </w:r>
          </w:p>
        </w:tc>
        <w:tc>
          <w:tcPr>
            <w:tcW w:w="1217" w:type="dxa"/>
            <w:vAlign w:val="center"/>
          </w:tcPr>
          <w:p w14:paraId="3BFDB35A">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96" w:type="dxa"/>
            <w:vMerge w:val="continue"/>
            <w:vAlign w:val="center"/>
          </w:tcPr>
          <w:p w14:paraId="67289AA3">
            <w:pPr>
              <w:keepNext w:val="0"/>
              <w:keepLines w:val="0"/>
              <w:pageBreakBefore w:val="0"/>
              <w:kinsoku/>
              <w:wordWrap/>
              <w:overflowPunct/>
              <w:topLinePunct w:val="0"/>
              <w:autoSpaceDE/>
              <w:autoSpaceDN/>
              <w:bidi w:val="0"/>
              <w:adjustRightInd w:val="0"/>
              <w:snapToGrid w:val="0"/>
              <w:spacing w:beforeAutospacing="0" w:afterAutospacing="0" w:line="320" w:lineRule="atLeast"/>
              <w:jc w:val="center"/>
              <w:textAlignment w:val="auto"/>
              <w:rPr>
                <w:rFonts w:hint="eastAsia" w:ascii="仿宋" w:hAnsi="仿宋" w:eastAsia="仿宋" w:cs="仿宋"/>
                <w:sz w:val="24"/>
                <w:szCs w:val="24"/>
              </w:rPr>
            </w:pPr>
          </w:p>
        </w:tc>
      </w:tr>
    </w:tbl>
    <w:p w14:paraId="743E8982">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cs="Times New Roman"/>
          <w:bCs/>
          <w:color w:val="000000" w:themeColor="text1"/>
          <w:sz w:val="24"/>
          <w:szCs w:val="24"/>
          <w:lang w:val="en-US" w:eastAsia="zh-Hans"/>
          <w14:textFill>
            <w14:solidFill>
              <w14:schemeClr w14:val="tx1"/>
            </w14:solidFill>
          </w14:textFill>
        </w:rPr>
      </w:pPr>
      <w:r>
        <w:rPr>
          <w:rFonts w:hint="eastAsia" w:ascii="黑体" w:hAnsi="宋体" w:eastAsia="黑体" w:cs="Times New Roman"/>
          <w:bCs/>
          <w:color w:val="000000" w:themeColor="text1"/>
          <w:sz w:val="24"/>
          <w:szCs w:val="24"/>
          <w:lang w:val="en-US" w:eastAsia="zh-CN"/>
          <w14:textFill>
            <w14:solidFill>
              <w14:schemeClr w14:val="tx1"/>
            </w14:solidFill>
          </w14:textFill>
        </w:rPr>
        <w:t>八、</w:t>
      </w:r>
      <w:r>
        <w:rPr>
          <w:rFonts w:hint="eastAsia" w:ascii="黑体" w:hAnsi="宋体" w:eastAsia="黑体" w:cs="Times New Roman"/>
          <w:bCs/>
          <w:color w:val="000000" w:themeColor="text1"/>
          <w:sz w:val="24"/>
          <w:szCs w:val="24"/>
          <w:lang w:val="en-US" w:eastAsia="zh-Hans"/>
          <w14:textFill>
            <w14:solidFill>
              <w14:schemeClr w14:val="tx1"/>
            </w14:solidFill>
          </w14:textFill>
        </w:rPr>
        <w:t>其他事项</w:t>
      </w:r>
    </w:p>
    <w:p w14:paraId="4EE029D8">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1</w:t>
      </w:r>
      <w:r>
        <w:rPr>
          <w:rFonts w:hint="eastAsia"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Hans"/>
        </w:rPr>
        <w:t>申请人提交的学历证书，学位证书。论文等必须真实有效，否则</w:t>
      </w:r>
      <w:r>
        <w:rPr>
          <w:rFonts w:hint="eastAsia" w:ascii="Times New Roman" w:hAnsi="Times New Roman" w:cs="Times New Roman"/>
          <w:color w:val="auto"/>
          <w:sz w:val="24"/>
          <w:szCs w:val="24"/>
          <w:lang w:val="en-US" w:eastAsia="zh-CN"/>
        </w:rPr>
        <w:t>不得</w:t>
      </w:r>
      <w:r>
        <w:rPr>
          <w:rFonts w:hint="eastAsia" w:ascii="Times New Roman" w:hAnsi="Times New Roman" w:cs="Times New Roman"/>
          <w:color w:val="auto"/>
          <w:sz w:val="24"/>
          <w:szCs w:val="24"/>
          <w:lang w:val="en-US" w:eastAsia="zh-Hans"/>
        </w:rPr>
        <w:t>申请硕士学位。若因证书不真实造成后果，一切责任由本人自负。</w:t>
      </w:r>
    </w:p>
    <w:p w14:paraId="36D4DBC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2</w:t>
      </w:r>
      <w:r>
        <w:rPr>
          <w:rFonts w:hint="eastAsia"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Hans"/>
        </w:rPr>
        <w:t>申请人因个人原因中止学习，所交费用不予退还。</w:t>
      </w:r>
    </w:p>
    <w:p w14:paraId="4DB4326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3</w:t>
      </w:r>
      <w:r>
        <w:rPr>
          <w:rFonts w:hint="eastAsia"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Hans"/>
        </w:rPr>
        <w:t>参加国家考试费用，学习期间的书籍资料费、学位论文打印费、到校听课、参加考试、论文答辩的差旅、食宿等各项费用自理</w:t>
      </w:r>
    </w:p>
    <w:p w14:paraId="07C682F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4</w:t>
      </w:r>
      <w:r>
        <w:rPr>
          <w:rFonts w:hint="eastAsia"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Hans"/>
        </w:rPr>
        <w:t>所有教学、考试规定都以江西财经大学研究生院相关政策为准</w:t>
      </w:r>
    </w:p>
    <w:p w14:paraId="2E3D80E4">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黑体" w:hAnsi="宋体" w:eastAsia="黑体" w:cs="Times New Roman"/>
          <w:bCs/>
          <w:color w:val="000000" w:themeColor="text1"/>
          <w:sz w:val="24"/>
          <w:szCs w:val="24"/>
          <w:lang w:val="en-US" w:eastAsia="zh-Hans"/>
          <w14:textFill>
            <w14:solidFill>
              <w14:schemeClr w14:val="tx1"/>
            </w14:solidFill>
          </w14:textFill>
        </w:rPr>
      </w:pPr>
      <w:r>
        <w:rPr>
          <w:rFonts w:hint="eastAsia" w:ascii="黑体" w:hAnsi="宋体" w:eastAsia="黑体" w:cs="Times New Roman"/>
          <w:bCs/>
          <w:color w:val="000000" w:themeColor="text1"/>
          <w:sz w:val="24"/>
          <w:szCs w:val="24"/>
          <w:lang w:val="en-US" w:eastAsia="zh-CN"/>
          <w14:textFill>
            <w14:solidFill>
              <w14:schemeClr w14:val="tx1"/>
            </w14:solidFill>
          </w14:textFill>
        </w:rPr>
        <w:t>九</w:t>
      </w:r>
      <w:r>
        <w:rPr>
          <w:rFonts w:hint="eastAsia" w:ascii="黑体" w:hAnsi="宋体" w:eastAsia="黑体" w:cs="Times New Roman"/>
          <w:bCs/>
          <w:color w:val="000000" w:themeColor="text1"/>
          <w:sz w:val="24"/>
          <w:szCs w:val="24"/>
          <w:lang w:val="en-US" w:eastAsia="zh-Hans"/>
          <w14:textFill>
            <w14:solidFill>
              <w14:schemeClr w14:val="tx1"/>
            </w14:solidFill>
          </w14:textFill>
        </w:rPr>
        <w:t>、招名流程</w:t>
      </w:r>
    </w:p>
    <w:p w14:paraId="279E9F8C">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1.填写报名表。</w:t>
      </w:r>
    </w:p>
    <w:p w14:paraId="6C55897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2.提交最高学历</w:t>
      </w:r>
      <w:r>
        <w:rPr>
          <w:rFonts w:hint="eastAsia"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Hans"/>
        </w:rPr>
        <w:t>学位证书、身份证电子版及复印件各一份。</w:t>
      </w:r>
    </w:p>
    <w:p w14:paraId="03A228D8">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3.交免冠蓝底近照10张(其中6张一寸、4张二寸)及一寸蓝底免冠照片的电子版。</w:t>
      </w:r>
    </w:p>
    <w:p w14:paraId="674ADED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4.告知书。</w:t>
      </w:r>
    </w:p>
    <w:p w14:paraId="33FAA2EB">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s="Times New Roman"/>
          <w:color w:val="auto"/>
          <w:sz w:val="24"/>
          <w:szCs w:val="24"/>
          <w:lang w:val="en-US" w:eastAsia="zh-Hans"/>
        </w:rPr>
      </w:pPr>
      <w:r>
        <w:rPr>
          <w:rFonts w:hint="eastAsia" w:ascii="Times New Roman" w:hAnsi="Times New Roman" w:cs="Times New Roman"/>
          <w:color w:val="auto"/>
          <w:sz w:val="24"/>
          <w:szCs w:val="24"/>
          <w:lang w:val="en-US" w:eastAsia="zh-Hans"/>
        </w:rPr>
        <w:t>5.经审核合格后，学员在规定时间内缴纳第一阶段费用</w:t>
      </w:r>
      <w:r>
        <w:rPr>
          <w:rFonts w:hint="eastAsia" w:ascii="Times New Roman" w:hAnsi="Times New Roman" w:cs="Times New Roman"/>
          <w:color w:val="auto"/>
          <w:sz w:val="24"/>
          <w:szCs w:val="24"/>
          <w:lang w:val="en-US" w:eastAsia="zh-CN"/>
        </w:rPr>
        <w:t>并</w:t>
      </w:r>
      <w:bookmarkStart w:id="8" w:name="_GoBack"/>
      <w:bookmarkEnd w:id="8"/>
      <w:r>
        <w:rPr>
          <w:rFonts w:hint="eastAsia" w:ascii="Times New Roman" w:hAnsi="Times New Roman" w:cs="Times New Roman"/>
          <w:color w:val="auto"/>
          <w:sz w:val="24"/>
          <w:szCs w:val="24"/>
          <w:lang w:val="en-US" w:eastAsia="zh-CN"/>
        </w:rPr>
        <w:t>参加现场确认</w:t>
      </w:r>
      <w:r>
        <w:rPr>
          <w:rFonts w:hint="eastAsia" w:ascii="Times New Roman" w:hAnsi="Times New Roman" w:cs="Times New Roman"/>
          <w:color w:val="auto"/>
          <w:sz w:val="24"/>
          <w:szCs w:val="24"/>
          <w:lang w:val="en-US" w:eastAsia="zh-Hans"/>
        </w:rPr>
        <w:t>。</w:t>
      </w:r>
    </w:p>
    <w:p w14:paraId="05A318E1">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outlineLvl w:val="0"/>
        <w:rPr>
          <w:rFonts w:hint="eastAsia" w:ascii="Times New Roman" w:hAnsi="Times New Roman" w:eastAsia="黑体"/>
          <w:bCs/>
          <w:color w:val="000000" w:themeColor="text1"/>
          <w:sz w:val="24"/>
          <w:szCs w:val="24"/>
          <w14:textFill>
            <w14:solidFill>
              <w14:schemeClr w14:val="tx1"/>
            </w14:solidFill>
          </w14:textFill>
        </w:rPr>
      </w:pPr>
      <w:r>
        <w:rPr>
          <w:rFonts w:hint="eastAsia" w:ascii="Times New Roman" w:hAnsi="Times New Roman" w:eastAsia="黑体"/>
          <w:bCs/>
          <w:color w:val="000000" w:themeColor="text1"/>
          <w:sz w:val="24"/>
          <w:szCs w:val="24"/>
          <w:lang w:val="en-US" w:eastAsia="zh-Hans"/>
          <w14:textFill>
            <w14:solidFill>
              <w14:schemeClr w14:val="tx1"/>
            </w14:solidFill>
          </w14:textFill>
        </w:rPr>
        <w:t>十、</w:t>
      </w:r>
      <w:r>
        <w:rPr>
          <w:rFonts w:hint="eastAsia" w:ascii="Times New Roman" w:hAnsi="Times New Roman" w:eastAsia="黑体"/>
          <w:bCs/>
          <w:color w:val="000000" w:themeColor="text1"/>
          <w:sz w:val="24"/>
          <w:szCs w:val="24"/>
          <w14:textFill>
            <w14:solidFill>
              <w14:schemeClr w14:val="tx1"/>
            </w14:solidFill>
          </w14:textFill>
        </w:rPr>
        <w:t>专业</w:t>
      </w:r>
      <w:r>
        <w:rPr>
          <w:rFonts w:ascii="Times New Roman" w:hAnsi="Times New Roman" w:eastAsia="黑体"/>
          <w:bCs/>
          <w:color w:val="000000" w:themeColor="text1"/>
          <w:sz w:val="24"/>
          <w:szCs w:val="24"/>
          <w14:textFill>
            <w14:solidFill>
              <w14:schemeClr w14:val="tx1"/>
            </w14:solidFill>
          </w14:textFill>
        </w:rPr>
        <w:t>阅读书目</w:t>
      </w:r>
    </w:p>
    <w:bookmarkEnd w:id="0"/>
    <w:bookmarkEnd w:id="1"/>
    <w:bookmarkEnd w:id="2"/>
    <w:bookmarkEnd w:id="3"/>
    <w:bookmarkEnd w:id="4"/>
    <w:bookmarkEnd w:id="5"/>
    <w:bookmarkEnd w:id="6"/>
    <w:bookmarkEnd w:id="7"/>
    <w:p w14:paraId="0B4B0A5B">
      <w:pPr>
        <w:pageBreakBefore w:val="0"/>
        <w:kinsoku/>
        <w:wordWrap/>
        <w:overflowPunct/>
        <w:topLinePunct w:val="0"/>
        <w:autoSpaceDE/>
        <w:autoSpaceDN/>
        <w:bidi w:val="0"/>
        <w:adjustRightInd w:val="0"/>
        <w:snapToGrid w:val="0"/>
        <w:spacing w:before="79" w:beforeLines="25" w:after="79" w:afterLines="25" w:line="400" w:lineRule="atLeast"/>
        <w:ind w:firstLine="482" w:firstLineChars="200"/>
        <w:textAlignment w:val="auto"/>
        <w:rPr>
          <w:rFonts w:ascii="Times New Roman" w:hAnsi="Times New Roman"/>
          <w:b/>
          <w:bCs/>
          <w:color w:val="000000" w:themeColor="text1"/>
          <w:sz w:val="24"/>
          <w:szCs w:val="24"/>
          <w14:textFill>
            <w14:solidFill>
              <w14:schemeClr w14:val="tx1"/>
            </w14:solidFill>
          </w14:textFill>
        </w:rPr>
      </w:pPr>
      <w:r>
        <w:rPr>
          <w:rFonts w:hint="eastAsia" w:ascii="Times New Roman" w:hAnsi="Times New Roman"/>
          <w:b/>
          <w:bCs/>
          <w:color w:val="000000" w:themeColor="text1"/>
          <w:sz w:val="24"/>
          <w:szCs w:val="24"/>
          <w:lang w:val="en-US" w:eastAsia="zh-CN"/>
          <w14:textFill>
            <w14:solidFill>
              <w14:schemeClr w14:val="tx1"/>
            </w14:solidFill>
          </w14:textFill>
        </w:rPr>
        <w:t>（一）教材、</w:t>
      </w:r>
      <w:r>
        <w:rPr>
          <w:rFonts w:hint="eastAsia" w:ascii="Times New Roman" w:hAnsi="Times New Roman"/>
          <w:b/>
          <w:bCs/>
          <w:color w:val="000000" w:themeColor="text1"/>
          <w:sz w:val="24"/>
          <w:szCs w:val="24"/>
          <w14:textFill>
            <w14:solidFill>
              <w14:schemeClr w14:val="tx1"/>
            </w14:solidFill>
          </w14:textFill>
        </w:rPr>
        <w:t>著作</w:t>
      </w:r>
    </w:p>
    <w:p w14:paraId="36722A6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1.埃尔赫南·赫尔普曼、保罗·R·克鲁格曼．市场结构和对外贸易——报酬递增、不完全竞争和国际贸易．上海三联出版社，2009年．</w:t>
      </w:r>
    </w:p>
    <w:p w14:paraId="2CE9A09C">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2.保罗·R·克鲁格曼、茅瑞斯·奥伯斯法尔德、马克·J·梅里兹．国际经济学——理论与政策（第10版）．中国人民大学出版社，2016年．</w:t>
      </w:r>
    </w:p>
    <w:p w14:paraId="5B4FE0B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3.杜大伟若泽·吉勒尔梅·莱斯王直（DavidDollar）．全球价值链发展报告2017．社会科学文献出版社，2018年．</w:t>
      </w:r>
    </w:p>
    <w:p w14:paraId="2D954CD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4.高疆、盛斌．国际贸易规则演进的经济学：从市场准入到规制融合．国际经贸探索，2019年第5期．</w:t>
      </w:r>
    </w:p>
    <w:p w14:paraId="24D47BF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5.国际贸易投资新规则与自贸试验区建设团队．全球数字贸易促进指数报告(2019)．立信会计出版社，2019年 ．</w:t>
      </w:r>
    </w:p>
    <w:p w14:paraId="1C7A63C8">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6.贾琳．跨国公司治理机制研究．知识产权出版社，2017年．</w:t>
      </w:r>
    </w:p>
    <w:p w14:paraId="038C94C7">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7.科林·卡梅隆、普拉温·特里维迪．微观计量经济学方法与应用（英文版）．机械工业出版社，2008年3月．</w:t>
      </w:r>
    </w:p>
    <w:p w14:paraId="4862D45E">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8.克鲁格曼、黄胜强译．国际贸易新理论．中国社会科学出版社，2001年．</w:t>
      </w:r>
    </w:p>
    <w:p w14:paraId="73E45425">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9.拉巴赫·阿尔扎基、[美]凯瑟琳·帕蒂罗、[比]马克·昆汀、朱民编，王宇等译．大宗商品价格波动与低收入国家的包容性增长(经济学前沿译丛)．商务印书馆，2016年．</w:t>
      </w:r>
    </w:p>
    <w:p w14:paraId="673E7503">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10.来有为．数字贸易国际规则制定: 现状与建议．国际贸易，2018年第12期．</w:t>
      </w:r>
    </w:p>
    <w:p w14:paraId="39EC9D6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11.兰天．贸易与环境政策协调研究．经济管理出版社，2017年．.</w:t>
      </w:r>
    </w:p>
    <w:p w14:paraId="6A3A370D">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12.梨峰．国内价值链分工与区域经济协调发展研究．人民出版社，2021．</w:t>
      </w:r>
    </w:p>
    <w:p w14:paraId="599F60CE">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13.李丽平著．自由贸易协定中的环境议题研究[M]．北京：中国环境科学出版社，2015．</w:t>
      </w:r>
    </w:p>
    <w:p w14:paraId="2FE4E1ED">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14.李秀香主编．贸易与环境．东北财经大学出版社，2015年．</w:t>
      </w:r>
    </w:p>
    <w:p w14:paraId="3B4A77A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15.李志远．国际贸易理论与中国实践．人民出版社，2021．</w:t>
      </w:r>
    </w:p>
    <w:p w14:paraId="7257EA7F">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16.林发勤．贸易中的引力模型：理论基础与实证应用．经济科学出版社，2016年．</w:t>
      </w:r>
    </w:p>
    <w:p w14:paraId="04438F03">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17.林毅夫、王勇、赵秋运．新结构经济学研习方法．北京大学出版社，2021年．</w:t>
      </w:r>
    </w:p>
    <w:p w14:paraId="4C4CC1EC">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18.林毅夫．新结构经济学．北京大学出版社，2018年．</w:t>
      </w:r>
    </w:p>
    <w:p w14:paraId="6B4DD3F7">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19.刘辉群、卢进勇．跨国公司、全球价值链与中国企业升级．厦门大学出版社，2020年．</w:t>
      </w:r>
    </w:p>
    <w:p w14:paraId="52291007">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20.吕越．全球价值链重塑下的中国企业升级．人民出版社, 2020．</w:t>
      </w:r>
    </w:p>
    <w:p w14:paraId="291FFBD5">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21.许统生、涂远芬等．中级应用国际贸易：理论与实证．复旦大学出版社，2019年．</w:t>
      </w:r>
    </w:p>
    <w:p w14:paraId="7A76E8F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22.约翰·邓宁．跨国公司与全球经济（第2版）．中国人民大学出版社，2016年．</w:t>
      </w:r>
    </w:p>
    <w:p w14:paraId="0C60539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23.张伟．中国贸易隐含大气污染转移与环境不公平．中国环境科学出版社，2018年．</w:t>
      </w:r>
    </w:p>
    <w:p w14:paraId="1122834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24.潘安．贸易增长环境效应与产业政策演变．经济科学出版社，2017年．</w:t>
      </w:r>
    </w:p>
    <w:p w14:paraId="248F42F4">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25.若昂·阿马多尔、菲利波·迪毛罗．全球价值链时代：测算与政策问题．上海人民出版社，2017年．</w:t>
      </w:r>
    </w:p>
    <w:p w14:paraId="51DB86CE">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26.生态环境部环境与经济政策研究中心．环境与贸易投资研究．中国环境出版社，2020．</w:t>
      </w:r>
    </w:p>
    <w:p w14:paraId="1FEA880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27.苏庆义．全球价值链：测度与应用．中国社会科学出版社，2021年．</w:t>
      </w:r>
    </w:p>
    <w:p w14:paraId="466EBE5B">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28.谭小芬．国际大宗商品定价权的金融视角分析及我国的对策研究．中国金融出版，2020年．</w:t>
      </w:r>
    </w:p>
    <w:p w14:paraId="5349AD42">
      <w:pPr>
        <w:pageBreakBefore w:val="0"/>
        <w:kinsoku/>
        <w:wordWrap/>
        <w:overflowPunct/>
        <w:topLinePunct w:val="0"/>
        <w:autoSpaceDE/>
        <w:autoSpaceDN/>
        <w:bidi w:val="0"/>
        <w:adjustRightInd w:val="0"/>
        <w:snapToGrid w:val="0"/>
        <w:spacing w:before="79" w:beforeLines="25" w:after="79" w:afterLines="25" w:line="400" w:lineRule="atLeast"/>
        <w:ind w:firstLine="482" w:firstLineChars="200"/>
        <w:textAlignment w:val="auto"/>
        <w:rPr>
          <w:rFonts w:hint="eastAsia" w:ascii="Times New Roman" w:hAnsi="Times New Roman"/>
          <w:b/>
          <w:bCs/>
          <w:color w:val="000000" w:themeColor="text1"/>
          <w:sz w:val="24"/>
          <w:szCs w:val="24"/>
          <w:lang w:val="en-US" w:eastAsia="zh-CN"/>
          <w14:textFill>
            <w14:solidFill>
              <w14:schemeClr w14:val="tx1"/>
            </w14:solidFill>
          </w14:textFill>
        </w:rPr>
      </w:pPr>
      <w:r>
        <w:rPr>
          <w:rFonts w:hint="eastAsia" w:ascii="Times New Roman" w:hAnsi="Times New Roman"/>
          <w:b/>
          <w:bCs/>
          <w:color w:val="000000" w:themeColor="text1"/>
          <w:sz w:val="24"/>
          <w:szCs w:val="24"/>
          <w:lang w:eastAsia="zh-CN"/>
          <w14:textFill>
            <w14:solidFill>
              <w14:schemeClr w14:val="tx1"/>
            </w14:solidFill>
          </w14:textFill>
        </w:rPr>
        <w:t>（</w:t>
      </w:r>
      <w:r>
        <w:rPr>
          <w:rFonts w:hint="eastAsia" w:ascii="Times New Roman" w:hAnsi="Times New Roman"/>
          <w:b/>
          <w:bCs/>
          <w:color w:val="000000" w:themeColor="text1"/>
          <w:sz w:val="24"/>
          <w:szCs w:val="24"/>
          <w:lang w:val="en-US" w:eastAsia="zh-CN"/>
          <w14:textFill>
            <w14:solidFill>
              <w14:schemeClr w14:val="tx1"/>
            </w14:solidFill>
          </w14:textFill>
        </w:rPr>
        <w:t>二</w:t>
      </w:r>
      <w:r>
        <w:rPr>
          <w:rFonts w:hint="eastAsia" w:ascii="Times New Roman" w:hAnsi="Times New Roman"/>
          <w:b/>
          <w:bCs/>
          <w:color w:val="000000" w:themeColor="text1"/>
          <w:sz w:val="24"/>
          <w:szCs w:val="24"/>
          <w:lang w:eastAsia="zh-CN"/>
          <w14:textFill>
            <w14:solidFill>
              <w14:schemeClr w14:val="tx1"/>
            </w14:solidFill>
          </w14:textFill>
        </w:rPr>
        <w:t>）</w:t>
      </w:r>
      <w:r>
        <w:rPr>
          <w:rFonts w:hint="eastAsia" w:ascii="Times New Roman" w:hAnsi="Times New Roman"/>
          <w:b/>
          <w:bCs/>
          <w:color w:val="000000" w:themeColor="text1"/>
          <w:sz w:val="24"/>
          <w:szCs w:val="24"/>
          <w:lang w:val="en-US" w:eastAsia="zh-CN"/>
          <w14:textFill>
            <w14:solidFill>
              <w14:schemeClr w14:val="tx1"/>
            </w14:solidFill>
          </w14:textFill>
        </w:rPr>
        <w:t>论文推荐</w:t>
      </w:r>
    </w:p>
    <w:p w14:paraId="1EEC9BD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w:t>
      </w:r>
      <w:r>
        <w:rPr>
          <w:rFonts w:hint="default" w:ascii="Times New Roman" w:hAnsi="Times New Roman"/>
          <w:color w:val="000000" w:themeColor="text1"/>
          <w:sz w:val="24"/>
          <w:szCs w:val="24"/>
          <w:lang w:val="en-US" w:eastAsia="zh-CN"/>
          <w14:textFill>
            <w14:solidFill>
              <w14:schemeClr w14:val="tx1"/>
            </w14:solidFill>
          </w14:textFill>
        </w:rPr>
        <w:t>.罗长远、张军．附加值贸易：基于中国的实证分析．经济研究，2014年第6期．</w:t>
      </w:r>
    </w:p>
    <w:p w14:paraId="303B90B4">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2</w:t>
      </w:r>
      <w:r>
        <w:rPr>
          <w:rFonts w:hint="default" w:ascii="Times New Roman" w:hAnsi="Times New Roman"/>
          <w:color w:val="000000" w:themeColor="text1"/>
          <w:sz w:val="24"/>
          <w:szCs w:val="24"/>
          <w:lang w:val="en-US" w:eastAsia="zh-CN"/>
          <w14:textFill>
            <w14:solidFill>
              <w14:schemeClr w14:val="tx1"/>
            </w14:solidFill>
          </w14:textFill>
        </w:rPr>
        <w:t>.马述忠．选择传统贸易还是跨境电商——销售渠道视角下消费者与生产者的决策分析．浙江社会科学，2019年第5期．</w:t>
      </w:r>
    </w:p>
    <w:p w14:paraId="1DC4DC7F">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default" w:ascii="Times New Roman" w:hAnsi="Times New Roman"/>
          <w:color w:val="000000" w:themeColor="text1"/>
          <w:sz w:val="24"/>
          <w:szCs w:val="24"/>
          <w:lang w:val="en-US" w:eastAsia="zh-CN"/>
          <w14:textFill>
            <w14:solidFill>
              <w14:schemeClr w14:val="tx1"/>
            </w14:solidFill>
          </w14:textFill>
        </w:rPr>
        <w:t>3.裴长洪、刘洪愧．中国怎样迈向贸易强国：一个新的分析思路．经济研究，2017年第5期．</w:t>
      </w:r>
    </w:p>
    <w:p w14:paraId="37F57EE1">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4</w:t>
      </w:r>
      <w:r>
        <w:rPr>
          <w:rFonts w:hint="default" w:ascii="Times New Roman" w:hAnsi="Times New Roman"/>
          <w:color w:val="000000" w:themeColor="text1"/>
          <w:sz w:val="24"/>
          <w:szCs w:val="24"/>
          <w:lang w:val="en-US" w:eastAsia="zh-CN"/>
          <w14:textFill>
            <w14:solidFill>
              <w14:schemeClr w14:val="tx1"/>
            </w14:solidFill>
          </w14:textFill>
        </w:rPr>
        <w:t>.钱学峰、王备．异质性企业与贸易政策：一个文献综述．世界经济，2018年第7期．</w:t>
      </w:r>
    </w:p>
    <w:p w14:paraId="1B5A438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5</w:t>
      </w:r>
      <w:r>
        <w:rPr>
          <w:rFonts w:hint="default" w:ascii="Times New Roman" w:hAnsi="Times New Roman"/>
          <w:color w:val="000000" w:themeColor="text1"/>
          <w:sz w:val="24"/>
          <w:szCs w:val="24"/>
          <w:lang w:val="en-US" w:eastAsia="zh-CN"/>
          <w14:textFill>
            <w14:solidFill>
              <w14:schemeClr w14:val="tx1"/>
            </w14:solidFill>
          </w14:textFill>
        </w:rPr>
        <w:t>.盛斌、高疆．中国与全球经济治理：从规则接受者到规则参与者．南开学报（哲学社会科学版），2018年第5期．</w:t>
      </w:r>
    </w:p>
    <w:p w14:paraId="486D2D8E">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6</w:t>
      </w:r>
      <w:r>
        <w:rPr>
          <w:rFonts w:hint="default" w:ascii="Times New Roman" w:hAnsi="Times New Roman"/>
          <w:color w:val="000000" w:themeColor="text1"/>
          <w:sz w:val="24"/>
          <w:szCs w:val="24"/>
          <w:lang w:val="en-US" w:eastAsia="zh-CN"/>
          <w14:textFill>
            <w14:solidFill>
              <w14:schemeClr w14:val="tx1"/>
            </w14:solidFill>
          </w14:textFill>
        </w:rPr>
        <w:t>.屠新泉、娄承蓉．改革开放40年：中国与多边贸易体制关系的演变．东南学术，2018年第5期．</w:t>
      </w:r>
    </w:p>
    <w:p w14:paraId="5DFC8991">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7</w:t>
      </w:r>
      <w:r>
        <w:rPr>
          <w:rFonts w:hint="default" w:ascii="Times New Roman" w:hAnsi="Times New Roman"/>
          <w:color w:val="000000" w:themeColor="text1"/>
          <w:sz w:val="24"/>
          <w:szCs w:val="24"/>
          <w:lang w:val="en-US" w:eastAsia="zh-CN"/>
          <w14:textFill>
            <w14:solidFill>
              <w14:schemeClr w14:val="tx1"/>
            </w14:solidFill>
          </w14:textFill>
        </w:rPr>
        <w:t>.屠新泉．WTO与中国对外开放．领导科学论坛，2019年第3期．</w:t>
      </w:r>
    </w:p>
    <w:p w14:paraId="33C77AEC">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8</w:t>
      </w:r>
      <w:r>
        <w:rPr>
          <w:rFonts w:hint="default" w:ascii="Times New Roman" w:hAnsi="Times New Roman"/>
          <w:color w:val="000000" w:themeColor="text1"/>
          <w:sz w:val="24"/>
          <w:szCs w:val="24"/>
          <w:lang w:val="en-US" w:eastAsia="zh-CN"/>
          <w14:textFill>
            <w14:solidFill>
              <w14:schemeClr w14:val="tx1"/>
            </w14:solidFill>
          </w14:textFill>
        </w:rPr>
        <w:t>.赵杨．基于PMC型的跨境电子商务政策评价研究． 国际商务———对外经济贸易大学学报，2018年第6期．</w:t>
      </w:r>
    </w:p>
    <w:p w14:paraId="57D61C0E">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9</w:t>
      </w:r>
      <w:r>
        <w:rPr>
          <w:rFonts w:hint="default" w:ascii="Times New Roman" w:hAnsi="Times New Roman"/>
          <w:color w:val="000000" w:themeColor="text1"/>
          <w:sz w:val="24"/>
          <w:szCs w:val="24"/>
          <w:lang w:val="en-US" w:eastAsia="zh-CN"/>
          <w14:textFill>
            <w14:solidFill>
              <w14:schemeClr w14:val="tx1"/>
            </w14:solidFill>
          </w14:textFill>
        </w:rPr>
        <w:t>.Abel‐Koch J.,“ Who Uses Intermediaries in International Trade? Evidence from Firm‐level Survey Data”, The World Economy 2013,（8）,1041-1064.</w:t>
      </w:r>
    </w:p>
    <w:p w14:paraId="20F066F5">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10</w:t>
      </w:r>
      <w:r>
        <w:rPr>
          <w:rFonts w:hint="default" w:ascii="Times New Roman" w:hAnsi="Times New Roman"/>
          <w:color w:val="000000" w:themeColor="text1"/>
          <w:sz w:val="24"/>
          <w:szCs w:val="24"/>
          <w:lang w:val="en-US" w:eastAsia="zh-CN"/>
          <w14:textFill>
            <w14:solidFill>
              <w14:schemeClr w14:val="tx1"/>
            </w14:solidFill>
          </w14:textFill>
        </w:rPr>
        <w:t>.Arkolakis, C., Ramondo, N., Rodríguez-Clare,A. and Yeaple,S.R.,“Innovation and Production in the Global Economy”,American Economic Review,2018,108(8), 2128-2173.</w:t>
      </w:r>
    </w:p>
    <w:p w14:paraId="726791B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11</w:t>
      </w:r>
      <w:r>
        <w:rPr>
          <w:rFonts w:hint="default" w:ascii="Times New Roman" w:hAnsi="Times New Roman"/>
          <w:color w:val="000000" w:themeColor="text1"/>
          <w:sz w:val="24"/>
          <w:szCs w:val="24"/>
          <w:lang w:val="en-US" w:eastAsia="zh-CN"/>
          <w14:textFill>
            <w14:solidFill>
              <w14:schemeClr w14:val="tx1"/>
            </w14:solidFill>
          </w14:textFill>
        </w:rPr>
        <w:t>.Bernard, Andrew, Stephen J. Redding, and Peter K. Schott,“Multiple-Product Firms and Trade Liberalization”, Quarterly Journal of Economics, 2011, 126(1), pp.70-97.</w:t>
      </w:r>
    </w:p>
    <w:p w14:paraId="734C7A1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12</w:t>
      </w:r>
      <w:r>
        <w:rPr>
          <w:rFonts w:hint="default" w:ascii="Times New Roman" w:hAnsi="Times New Roman"/>
          <w:color w:val="000000" w:themeColor="text1"/>
          <w:sz w:val="24"/>
          <w:szCs w:val="24"/>
          <w:lang w:val="en-US" w:eastAsia="zh-CN"/>
          <w14:textFill>
            <w14:solidFill>
              <w14:schemeClr w14:val="tx1"/>
            </w14:solidFill>
          </w14:textFill>
        </w:rPr>
        <w:t>.Caliendo L.,Monte F.and Rossi-Hansberg E.,“The Anatomy of French Production Hierarchies, Journal of Political Economy”, 2015, 123(4):809-852.</w:t>
      </w:r>
    </w:p>
    <w:p w14:paraId="0CC29C2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13</w:t>
      </w:r>
      <w:r>
        <w:rPr>
          <w:rFonts w:hint="default" w:ascii="Times New Roman" w:hAnsi="Times New Roman"/>
          <w:color w:val="000000" w:themeColor="text1"/>
          <w:sz w:val="24"/>
          <w:szCs w:val="24"/>
          <w:lang w:val="en-US" w:eastAsia="zh-CN"/>
          <w14:textFill>
            <w14:solidFill>
              <w14:schemeClr w14:val="tx1"/>
            </w14:solidFill>
          </w14:textFill>
        </w:rPr>
        <w:t>.Caliendo, Parro,Rossi-Hansberg and Sarte,“The Impact of Regional and Sectoral Productivity Changes on the U.S. Economy”, Review of Economic Studies,2015.</w:t>
      </w:r>
    </w:p>
    <w:p w14:paraId="5310165E">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14</w:t>
      </w:r>
      <w:r>
        <w:rPr>
          <w:rFonts w:hint="default" w:ascii="Times New Roman" w:hAnsi="Times New Roman"/>
          <w:color w:val="000000" w:themeColor="text1"/>
          <w:sz w:val="24"/>
          <w:szCs w:val="24"/>
          <w:lang w:val="en-US" w:eastAsia="zh-CN"/>
          <w14:textFill>
            <w14:solidFill>
              <w14:schemeClr w14:val="tx1"/>
            </w14:solidFill>
          </w14:textFill>
        </w:rPr>
        <w:t>.Caliendo,Dvorkin and Parro., “Trade and Labor Market Dynamics”, working paper,2015.</w:t>
      </w:r>
    </w:p>
    <w:p w14:paraId="1EADCDF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15</w:t>
      </w:r>
      <w:r>
        <w:rPr>
          <w:rFonts w:hint="default" w:ascii="Times New Roman" w:hAnsi="Times New Roman"/>
          <w:color w:val="000000" w:themeColor="text1"/>
          <w:sz w:val="24"/>
          <w:szCs w:val="24"/>
          <w:lang w:val="en-US" w:eastAsia="zh-CN"/>
          <w14:textFill>
            <w14:solidFill>
              <w14:schemeClr w14:val="tx1"/>
            </w14:solidFill>
          </w14:textFill>
        </w:rPr>
        <w:t>.Feenstra, R. C., Luck P., Obstfeld, M.and Russ, K.N.,“In Search of the Armington Elasticity”, Review of Economics and Statistics, 2018,100(1), 135-150.</w:t>
      </w:r>
    </w:p>
    <w:p w14:paraId="67A4378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16</w:t>
      </w:r>
      <w:r>
        <w:rPr>
          <w:rFonts w:hint="default" w:ascii="Times New Roman" w:hAnsi="Times New Roman"/>
          <w:color w:val="000000" w:themeColor="text1"/>
          <w:sz w:val="24"/>
          <w:szCs w:val="24"/>
          <w:lang w:val="en-US" w:eastAsia="zh-CN"/>
          <w14:textFill>
            <w14:solidFill>
              <w14:schemeClr w14:val="tx1"/>
            </w14:solidFill>
          </w14:textFill>
        </w:rPr>
        <w:t xml:space="preserve">.Feenstra, Robert C,“Advanced International Trade :Theory and Evidence”,Princeton University  Press, 2016.   </w:t>
      </w:r>
    </w:p>
    <w:p w14:paraId="333B45B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17</w:t>
      </w:r>
      <w:r>
        <w:rPr>
          <w:rFonts w:hint="default" w:ascii="Times New Roman" w:hAnsi="Times New Roman"/>
          <w:color w:val="000000" w:themeColor="text1"/>
          <w:sz w:val="24"/>
          <w:szCs w:val="24"/>
          <w:lang w:val="en-US" w:eastAsia="zh-CN"/>
          <w14:textFill>
            <w14:solidFill>
              <w14:schemeClr w14:val="tx1"/>
            </w14:solidFill>
          </w14:textFill>
        </w:rPr>
        <w:t>.Handley, K.and Limao, N.,“Policy Uncertainty, Trade, and Welfare: Theory and Evidence for China and the United States”,American Economic Review,2017,107(9), 2731-2783.</w:t>
      </w:r>
    </w:p>
    <w:p w14:paraId="2AB2A59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18</w:t>
      </w:r>
      <w:r>
        <w:rPr>
          <w:rFonts w:hint="default" w:ascii="Times New Roman" w:hAnsi="Times New Roman"/>
          <w:color w:val="000000" w:themeColor="text1"/>
          <w:sz w:val="24"/>
          <w:szCs w:val="24"/>
          <w:lang w:val="en-US" w:eastAsia="zh-CN"/>
          <w14:textFill>
            <w14:solidFill>
              <w14:schemeClr w14:val="tx1"/>
            </w14:solidFill>
          </w14:textFill>
        </w:rPr>
        <w:t>.Harry P. Bowen et al., “Applied International Trade”,Palgrave Macmillan, 2012.</w:t>
      </w:r>
    </w:p>
    <w:p w14:paraId="4BCE4DDD">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19</w:t>
      </w:r>
      <w:r>
        <w:rPr>
          <w:rFonts w:hint="default" w:ascii="Times New Roman" w:hAnsi="Times New Roman"/>
          <w:color w:val="000000" w:themeColor="text1"/>
          <w:sz w:val="24"/>
          <w:szCs w:val="24"/>
          <w:lang w:val="en-US" w:eastAsia="zh-CN"/>
          <w14:textFill>
            <w14:solidFill>
              <w14:schemeClr w14:val="tx1"/>
            </w14:solidFill>
          </w14:textFill>
        </w:rPr>
        <w:t>.Redding and Rossi-Hansberg.,“Quantitative Spatial Economics” Annual Review of Economics,2017.</w:t>
      </w:r>
    </w:p>
    <w:p w14:paraId="14E585E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20</w:t>
      </w:r>
      <w:r>
        <w:rPr>
          <w:rFonts w:hint="default" w:ascii="Times New Roman" w:hAnsi="Times New Roman"/>
          <w:color w:val="000000" w:themeColor="text1"/>
          <w:sz w:val="24"/>
          <w:szCs w:val="24"/>
          <w:lang w:val="en-US" w:eastAsia="zh-CN"/>
          <w14:textFill>
            <w14:solidFill>
              <w14:schemeClr w14:val="tx1"/>
            </w14:solidFill>
          </w14:textFill>
        </w:rPr>
        <w:t>.S. Ganapati and C. G. Reddick, “ Prospects and challenges f sharing economy for the public sector”, Government Information Quarterly, 2018, 35(1), pp. 77-87.</w:t>
      </w:r>
    </w:p>
    <w:p w14:paraId="39B78121">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21</w:t>
      </w:r>
      <w:r>
        <w:rPr>
          <w:rFonts w:hint="default" w:ascii="Times New Roman" w:hAnsi="Times New Roman"/>
          <w:color w:val="000000" w:themeColor="text1"/>
          <w:sz w:val="24"/>
          <w:szCs w:val="24"/>
          <w:lang w:val="en-US" w:eastAsia="zh-CN"/>
          <w14:textFill>
            <w14:solidFill>
              <w14:schemeClr w14:val="tx1"/>
            </w14:solidFill>
          </w14:textFill>
        </w:rPr>
        <w:t>.Treb Allen and Costas Arkolakis: Elements of Advanced International Trade, 2016.</w:t>
      </w:r>
    </w:p>
    <w:p w14:paraId="19EA4127">
      <w:pPr>
        <w:pageBreakBefore w:val="0"/>
        <w:kinsoku/>
        <w:wordWrap/>
        <w:overflowPunct/>
        <w:topLinePunct w:val="0"/>
        <w:autoSpaceDE/>
        <w:autoSpaceDN/>
        <w:bidi w:val="0"/>
        <w:adjustRightInd w:val="0"/>
        <w:snapToGrid w:val="0"/>
        <w:spacing w:before="79" w:beforeLines="25" w:after="79" w:afterLines="25" w:line="400" w:lineRule="atLeast"/>
        <w:ind w:firstLine="482" w:firstLineChars="200"/>
        <w:textAlignment w:val="auto"/>
        <w:rPr>
          <w:rFonts w:hint="eastAsia" w:ascii="Times New Roman" w:hAnsi="Times New Roman" w:cs="Times New Roman"/>
          <w:b/>
          <w:bCs/>
          <w:color w:val="000000" w:themeColor="text1"/>
          <w:sz w:val="24"/>
          <w:szCs w:val="24"/>
          <w:lang w:val="en-US" w:eastAsia="zh-CN"/>
          <w14:textFill>
            <w14:solidFill>
              <w14:schemeClr w14:val="tx1"/>
            </w14:solidFill>
          </w14:textFill>
        </w:rPr>
      </w:pPr>
      <w:r>
        <w:rPr>
          <w:rFonts w:hint="eastAsia" w:ascii="Times New Roman" w:hAnsi="Times New Roman" w:cs="Times New Roman"/>
          <w:b/>
          <w:bCs/>
          <w:color w:val="000000" w:themeColor="text1"/>
          <w:sz w:val="24"/>
          <w:szCs w:val="24"/>
          <w:lang w:val="en-US" w:eastAsia="zh-CN"/>
          <w14:textFill>
            <w14:solidFill>
              <w14:schemeClr w14:val="tx1"/>
            </w14:solidFill>
          </w14:textFill>
        </w:rPr>
        <w:t>（三）期刊推荐</w:t>
      </w:r>
    </w:p>
    <w:p w14:paraId="534DC2E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1.中国社会科学</w:t>
      </w:r>
    </w:p>
    <w:p w14:paraId="23CB0FCC">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2.经济研究</w:t>
      </w:r>
    </w:p>
    <w:p w14:paraId="3198EF2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3.管理世界</w:t>
      </w:r>
    </w:p>
    <w:p w14:paraId="07C00D04">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4.世界经济</w:t>
      </w:r>
    </w:p>
    <w:p w14:paraId="7065DE0B">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5.财贸经济</w:t>
      </w:r>
    </w:p>
    <w:p w14:paraId="0CA7D987">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6.国际贸易问题</w:t>
      </w:r>
    </w:p>
    <w:p w14:paraId="2C81544E">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7.中国工业经济</w:t>
      </w:r>
    </w:p>
    <w:p w14:paraId="7E462A6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8.</w:t>
      </w:r>
      <w:r>
        <w:rPr>
          <w:rFonts w:hint="default" w:ascii="Times New Roman" w:hAnsi="Times New Roman"/>
          <w:color w:val="000000" w:themeColor="text1"/>
          <w:sz w:val="24"/>
          <w:szCs w:val="24"/>
          <w:lang w:val="en-US" w:eastAsia="zh-CN"/>
          <w14:textFill>
            <w14:solidFill>
              <w14:schemeClr w14:val="tx1"/>
            </w14:solidFill>
          </w14:textFill>
        </w:rPr>
        <w:t>Journal of international economics</w:t>
      </w:r>
    </w:p>
    <w:p w14:paraId="535253D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9.</w:t>
      </w:r>
      <w:r>
        <w:rPr>
          <w:rFonts w:hint="default" w:ascii="Times New Roman" w:hAnsi="Times New Roman"/>
          <w:color w:val="000000" w:themeColor="text1"/>
          <w:sz w:val="24"/>
          <w:szCs w:val="24"/>
          <w:lang w:val="en-US" w:eastAsia="zh-CN"/>
          <w14:textFill>
            <w14:solidFill>
              <w14:schemeClr w14:val="tx1"/>
            </w14:solidFill>
          </w14:textFill>
        </w:rPr>
        <w:t>The American Economic Review</w:t>
      </w:r>
    </w:p>
    <w:p w14:paraId="7F34447B">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10.</w:t>
      </w:r>
      <w:r>
        <w:rPr>
          <w:rFonts w:hint="default" w:ascii="Times New Roman" w:hAnsi="Times New Roman"/>
          <w:color w:val="000000" w:themeColor="text1"/>
          <w:sz w:val="24"/>
          <w:szCs w:val="24"/>
          <w:lang w:val="en-US" w:eastAsia="zh-CN"/>
          <w14:textFill>
            <w14:solidFill>
              <w14:schemeClr w14:val="tx1"/>
            </w14:solidFill>
          </w14:textFill>
        </w:rPr>
        <w:t>American Economic Journal</w:t>
      </w:r>
    </w:p>
    <w:p w14:paraId="5052009B">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11.Journal of Political Economy</w:t>
      </w:r>
      <w:r>
        <w:rPr>
          <w:rFonts w:hint="default" w:ascii="Times New Roman" w:hAnsi="Times New Roman"/>
          <w:color w:val="000000" w:themeColor="text1"/>
          <w:sz w:val="24"/>
          <w:szCs w:val="24"/>
          <w:lang w:val="en-US" w:eastAsia="zh-CN"/>
          <w14:textFill>
            <w14:solidFill>
              <w14:schemeClr w14:val="tx1"/>
            </w14:solidFill>
          </w14:textFill>
        </w:rPr>
        <w:t xml:space="preserve"> </w:t>
      </w:r>
    </w:p>
    <w:p w14:paraId="388B76D1">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12.</w:t>
      </w:r>
      <w:r>
        <w:rPr>
          <w:rFonts w:hint="default" w:ascii="Times New Roman" w:hAnsi="Times New Roman"/>
          <w:color w:val="000000" w:themeColor="text1"/>
          <w:sz w:val="24"/>
          <w:szCs w:val="24"/>
          <w:lang w:val="en-US" w:eastAsia="zh-CN"/>
          <w14:textFill>
            <w14:solidFill>
              <w14:schemeClr w14:val="tx1"/>
            </w14:solidFill>
          </w14:textFill>
        </w:rPr>
        <w:t xml:space="preserve">The Economic Journal </w:t>
      </w:r>
    </w:p>
    <w:p w14:paraId="7E5666F1">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13.</w:t>
      </w:r>
      <w:r>
        <w:rPr>
          <w:rFonts w:hint="default" w:ascii="Times New Roman" w:hAnsi="Times New Roman"/>
          <w:color w:val="000000" w:themeColor="text1"/>
          <w:sz w:val="24"/>
          <w:szCs w:val="24"/>
          <w:lang w:val="en-US" w:eastAsia="zh-CN"/>
          <w14:textFill>
            <w14:solidFill>
              <w14:schemeClr w14:val="tx1"/>
            </w14:solidFill>
          </w14:textFill>
        </w:rPr>
        <w:t>The Review of Economic Studies</w:t>
      </w:r>
    </w:p>
    <w:p w14:paraId="04166EAD">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14.</w:t>
      </w:r>
      <w:r>
        <w:rPr>
          <w:rFonts w:hint="default" w:ascii="Times New Roman" w:hAnsi="Times New Roman"/>
          <w:color w:val="000000" w:themeColor="text1"/>
          <w:sz w:val="24"/>
          <w:szCs w:val="24"/>
          <w:lang w:val="en-US" w:eastAsia="zh-CN"/>
          <w14:textFill>
            <w14:solidFill>
              <w14:schemeClr w14:val="tx1"/>
            </w14:solidFill>
          </w14:textFill>
        </w:rPr>
        <w:t>The Quarterly Journal of Economics</w:t>
      </w:r>
    </w:p>
    <w:p w14:paraId="3C25B65B">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15.</w:t>
      </w:r>
      <w:r>
        <w:rPr>
          <w:rFonts w:hint="default" w:ascii="Times New Roman" w:hAnsi="Times New Roman"/>
          <w:color w:val="000000" w:themeColor="text1"/>
          <w:sz w:val="24"/>
          <w:szCs w:val="24"/>
          <w:lang w:val="en-US" w:eastAsia="zh-CN"/>
          <w14:textFill>
            <w14:solidFill>
              <w14:schemeClr w14:val="tx1"/>
            </w14:solidFill>
          </w14:textFill>
        </w:rPr>
        <w:t xml:space="preserve">The Review of Economics and Statistics </w:t>
      </w:r>
    </w:p>
    <w:p w14:paraId="15A98993">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（四）重要报告</w:t>
      </w:r>
    </w:p>
    <w:p w14:paraId="227ECF7B">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1.全球价值链发展报告</w:t>
      </w:r>
    </w:p>
    <w:p w14:paraId="0010AB51">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2.世界投资发展报告</w:t>
      </w:r>
    </w:p>
    <w:p w14:paraId="7FAF219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3.World Trade Report</w:t>
      </w:r>
    </w:p>
    <w:p w14:paraId="59555A2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4.全</w:t>
      </w:r>
      <w:r>
        <w:rPr>
          <w:rFonts w:hint="default" w:ascii="Times New Roman" w:hAnsi="Times New Roman"/>
          <w:color w:val="000000" w:themeColor="text1"/>
          <w:sz w:val="24"/>
          <w:szCs w:val="24"/>
          <w:lang w:val="en-US" w:eastAsia="zh-CN"/>
          <w14:textFill>
            <w14:solidFill>
              <w14:schemeClr w14:val="tx1"/>
            </w14:solidFill>
          </w14:textFill>
        </w:rPr>
        <w:t>球数字经济发展指数报告</w:t>
      </w:r>
    </w:p>
    <w:p w14:paraId="7FE101BF">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5.</w:t>
      </w:r>
      <w:r>
        <w:rPr>
          <w:rFonts w:hint="default" w:ascii="Times New Roman" w:hAnsi="Times New Roman"/>
          <w:color w:val="000000" w:themeColor="text1"/>
          <w:sz w:val="24"/>
          <w:szCs w:val="24"/>
          <w:lang w:val="en-US" w:eastAsia="zh-CN"/>
          <w14:textFill>
            <w14:solidFill>
              <w14:schemeClr w14:val="tx1"/>
            </w14:solidFill>
          </w14:textFill>
        </w:rPr>
        <w:t>全球数字经济白皮书</w:t>
      </w:r>
    </w:p>
    <w:p w14:paraId="3A4F4D13">
      <w:pPr>
        <w:spacing w:line="440" w:lineRule="exact"/>
        <w:ind w:firstLine="482" w:firstLineChars="200"/>
        <w:rPr>
          <w:rFonts w:ascii="Times New Roman" w:hAnsi="Times New Roman"/>
          <w:b/>
          <w:sz w:val="24"/>
          <w:szCs w:val="24"/>
        </w:rPr>
      </w:pPr>
      <w:r>
        <w:rPr>
          <w:rFonts w:hint="eastAsia" w:ascii="Times New Roman" w:hAnsi="Times New Roman"/>
          <w:b/>
          <w:sz w:val="24"/>
          <w:szCs w:val="24"/>
          <w:lang w:eastAsia="zh-CN"/>
        </w:rPr>
        <w:t>（</w:t>
      </w:r>
      <w:r>
        <w:rPr>
          <w:rFonts w:hint="eastAsia" w:ascii="Times New Roman" w:hAnsi="Times New Roman"/>
          <w:b/>
          <w:sz w:val="24"/>
          <w:szCs w:val="24"/>
          <w:lang w:val="en-US" w:eastAsia="zh-CN"/>
        </w:rPr>
        <w:t>五</w:t>
      </w:r>
      <w:r>
        <w:rPr>
          <w:rFonts w:hint="eastAsia" w:ascii="Times New Roman" w:hAnsi="Times New Roman"/>
          <w:b/>
          <w:sz w:val="24"/>
          <w:szCs w:val="24"/>
          <w:lang w:eastAsia="zh-CN"/>
        </w:rPr>
        <w:t>）</w:t>
      </w:r>
      <w:r>
        <w:rPr>
          <w:rFonts w:hint="eastAsia" w:ascii="Times New Roman" w:hAnsi="Times New Roman"/>
          <w:b/>
          <w:sz w:val="24"/>
          <w:szCs w:val="24"/>
        </w:rPr>
        <w:t>重要网站</w:t>
      </w:r>
    </w:p>
    <w:p w14:paraId="63407F75">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1.</w:t>
      </w:r>
      <w:r>
        <w:rPr>
          <w:rFonts w:hint="eastAsia" w:ascii="Times New Roman" w:hAnsi="Times New Roman"/>
          <w:color w:val="000000" w:themeColor="text1"/>
          <w:sz w:val="24"/>
          <w:szCs w:val="24"/>
          <w:lang w:val="en-US" w:eastAsia="zh-CN"/>
          <w14:textFill>
            <w14:solidFill>
              <w14:schemeClr w14:val="tx1"/>
            </w14:solidFill>
          </w14:textFill>
        </w:rPr>
        <w:fldChar w:fldCharType="begin"/>
      </w:r>
      <w:r>
        <w:rPr>
          <w:rFonts w:hint="eastAsia" w:ascii="Times New Roman" w:hAnsi="Times New Roman"/>
          <w:color w:val="000000" w:themeColor="text1"/>
          <w:sz w:val="24"/>
          <w:szCs w:val="24"/>
          <w:lang w:val="en-US" w:eastAsia="zh-CN"/>
          <w14:textFill>
            <w14:solidFill>
              <w14:schemeClr w14:val="tx1"/>
            </w14:solidFill>
          </w14:textFill>
        </w:rPr>
        <w:instrText xml:space="preserve"> HYPERLINK "https://www.robertcfeenstra.com/." </w:instrText>
      </w:r>
      <w:r>
        <w:rPr>
          <w:rFonts w:hint="eastAsia" w:ascii="Times New Roman" w:hAnsi="Times New Roman"/>
          <w:color w:val="000000" w:themeColor="text1"/>
          <w:sz w:val="24"/>
          <w:szCs w:val="24"/>
          <w:lang w:val="en-US" w:eastAsia="zh-CN"/>
          <w14:textFill>
            <w14:solidFill>
              <w14:schemeClr w14:val="tx1"/>
            </w14:solidFill>
          </w14:textFill>
        </w:rPr>
        <w:fldChar w:fldCharType="separate"/>
      </w:r>
      <w:r>
        <w:rPr>
          <w:rFonts w:hint="eastAsia" w:ascii="Times New Roman" w:hAnsi="Times New Roman"/>
          <w:color w:val="000000" w:themeColor="text1"/>
          <w:sz w:val="24"/>
          <w:szCs w:val="24"/>
          <w:lang w:val="en-US" w:eastAsia="zh-CN"/>
          <w14:textFill>
            <w14:solidFill>
              <w14:schemeClr w14:val="tx1"/>
            </w14:solidFill>
          </w14:textFill>
        </w:rPr>
        <w:t>https://www.robertcfeenstra.com/.</w:t>
      </w:r>
      <w:r>
        <w:rPr>
          <w:rFonts w:hint="eastAsia" w:ascii="Times New Roman" w:hAnsi="Times New Roman"/>
          <w:color w:val="000000" w:themeColor="text1"/>
          <w:sz w:val="24"/>
          <w:szCs w:val="24"/>
          <w:lang w:val="en-US" w:eastAsia="zh-CN"/>
          <w14:textFill>
            <w14:solidFill>
              <w14:schemeClr w14:val="tx1"/>
            </w14:solidFill>
          </w14:textFill>
        </w:rPr>
        <w:fldChar w:fldCharType="end"/>
      </w:r>
    </w:p>
    <w:p w14:paraId="47F9A594">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2.http://www.princeton.edu/~erossi/.</w:t>
      </w:r>
    </w:p>
    <w:p w14:paraId="023DBDA8">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3.WTO</w:t>
      </w:r>
    </w:p>
    <w:p w14:paraId="5C29AA0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4.World bank</w:t>
      </w:r>
    </w:p>
    <w:p w14:paraId="37D8E41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lang w:val="en-US" w:eastAsia="zh-CN"/>
          <w14:textFill>
            <w14:solidFill>
              <w14:schemeClr w14:val="tx1"/>
            </w14:solidFill>
          </w14:textFill>
        </w:rPr>
        <w:t xml:space="preserve">5.NBER </w:t>
      </w:r>
    </w:p>
    <w:p w14:paraId="4F52A87D">
      <w:pPr>
        <w:rPr>
          <w:rFonts w:ascii="Times New Roman" w:hAnsi="Times New Roman"/>
          <w:sz w:val="24"/>
          <w:szCs w:val="24"/>
        </w:rPr>
      </w:pPr>
    </w:p>
    <w:p w14:paraId="652F1248">
      <w:pPr>
        <w:pageBreakBefore w:val="0"/>
        <w:kinsoku/>
        <w:wordWrap/>
        <w:overflowPunct/>
        <w:topLinePunct w:val="0"/>
        <w:autoSpaceDE/>
        <w:autoSpaceDN/>
        <w:bidi w:val="0"/>
        <w:adjustRightInd w:val="0"/>
        <w:snapToGrid w:val="0"/>
        <w:spacing w:before="79" w:beforeLines="25" w:after="79" w:afterLines="25" w:line="400" w:lineRule="atLeas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B7F2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639D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D639D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53639"/>
    <w:rsid w:val="03176CC4"/>
    <w:rsid w:val="05184F9C"/>
    <w:rsid w:val="07D727FB"/>
    <w:rsid w:val="09970B85"/>
    <w:rsid w:val="0AE95411"/>
    <w:rsid w:val="0B9A670B"/>
    <w:rsid w:val="0CD45C4C"/>
    <w:rsid w:val="0F2509E1"/>
    <w:rsid w:val="0F2A7614"/>
    <w:rsid w:val="102510D7"/>
    <w:rsid w:val="106A2B50"/>
    <w:rsid w:val="10A83678"/>
    <w:rsid w:val="10AA5642"/>
    <w:rsid w:val="11AD02D1"/>
    <w:rsid w:val="12273A03"/>
    <w:rsid w:val="141334FE"/>
    <w:rsid w:val="155E69FB"/>
    <w:rsid w:val="16D8458B"/>
    <w:rsid w:val="16F5513D"/>
    <w:rsid w:val="17C36DA7"/>
    <w:rsid w:val="18144212"/>
    <w:rsid w:val="18D771F0"/>
    <w:rsid w:val="1AF5395E"/>
    <w:rsid w:val="1C1B3898"/>
    <w:rsid w:val="1C737230"/>
    <w:rsid w:val="1D9C4564"/>
    <w:rsid w:val="1E001F14"/>
    <w:rsid w:val="1F316F2E"/>
    <w:rsid w:val="1F796500"/>
    <w:rsid w:val="1FAB0A8F"/>
    <w:rsid w:val="206A6B9C"/>
    <w:rsid w:val="20E77008"/>
    <w:rsid w:val="21466CC1"/>
    <w:rsid w:val="24A3267C"/>
    <w:rsid w:val="254B612C"/>
    <w:rsid w:val="26EE4083"/>
    <w:rsid w:val="2A500BB0"/>
    <w:rsid w:val="2C9C273B"/>
    <w:rsid w:val="2D9708A4"/>
    <w:rsid w:val="30D27027"/>
    <w:rsid w:val="327F64D7"/>
    <w:rsid w:val="343E1A7A"/>
    <w:rsid w:val="35B30245"/>
    <w:rsid w:val="364475BF"/>
    <w:rsid w:val="367D3FDE"/>
    <w:rsid w:val="3986589A"/>
    <w:rsid w:val="3A4A1178"/>
    <w:rsid w:val="3B6F0E10"/>
    <w:rsid w:val="3B871F58"/>
    <w:rsid w:val="441906E7"/>
    <w:rsid w:val="45BE2A1A"/>
    <w:rsid w:val="479B74B7"/>
    <w:rsid w:val="4A561D5A"/>
    <w:rsid w:val="4B5F25AA"/>
    <w:rsid w:val="4B810772"/>
    <w:rsid w:val="4C771416"/>
    <w:rsid w:val="4CBE1552"/>
    <w:rsid w:val="4D7C4340"/>
    <w:rsid w:val="4F714FA1"/>
    <w:rsid w:val="503C110B"/>
    <w:rsid w:val="50575E4A"/>
    <w:rsid w:val="51B3364F"/>
    <w:rsid w:val="5285323E"/>
    <w:rsid w:val="530103EA"/>
    <w:rsid w:val="530E3233"/>
    <w:rsid w:val="53CE7BF1"/>
    <w:rsid w:val="540B366B"/>
    <w:rsid w:val="543F11CA"/>
    <w:rsid w:val="567C6706"/>
    <w:rsid w:val="57E02CC4"/>
    <w:rsid w:val="5D0C00B7"/>
    <w:rsid w:val="5E196F30"/>
    <w:rsid w:val="5E781B52"/>
    <w:rsid w:val="6085265B"/>
    <w:rsid w:val="628232F6"/>
    <w:rsid w:val="634A4AA0"/>
    <w:rsid w:val="63662122"/>
    <w:rsid w:val="6ABE50E7"/>
    <w:rsid w:val="6CF32AE2"/>
    <w:rsid w:val="6E5024FA"/>
    <w:rsid w:val="6EAB14DE"/>
    <w:rsid w:val="715776FB"/>
    <w:rsid w:val="73252927"/>
    <w:rsid w:val="75010D7C"/>
    <w:rsid w:val="77E872FF"/>
    <w:rsid w:val="78AA2807"/>
    <w:rsid w:val="7C63164A"/>
    <w:rsid w:val="7E573431"/>
    <w:rsid w:val="7E7D398E"/>
    <w:rsid w:val="7EF667A6"/>
    <w:rsid w:val="7FA96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ind w:firstLine="440" w:firstLineChars="200"/>
      <w:jc w:val="left"/>
    </w:pPr>
    <w:rPr>
      <w:rFonts w:ascii="宋体" w:hAnsi="宋体"/>
      <w:kern w:val="0"/>
      <w:sz w:val="22"/>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7">
    <w:name w:val="Hyperlink"/>
    <w:unhideWhenUsed/>
    <w:qFormat/>
    <w:uiPriority w:val="99"/>
    <w:rPr>
      <w:color w:val="0563C1"/>
      <w:u w:val="single"/>
    </w:rPr>
  </w:style>
  <w:style w:type="paragraph" w:customStyle="1" w:styleId="8">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4887</Words>
  <Characters>6792</Characters>
  <Lines>0</Lines>
  <Paragraphs>0</Paragraphs>
  <TotalTime>3</TotalTime>
  <ScaleCrop>false</ScaleCrop>
  <LinksUpToDate>false</LinksUpToDate>
  <CharactersWithSpaces>7040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2025-05-08T08:32:00Z</dcterms:created>
  <dc:creator>use</dc:creator>
  <cp:lastModifiedBy>在职研王老师</cp:lastModifiedBy>
  <cp:lastPrinted>2025-05-15T06:26:00Z</cp:lastPrinted>
  <dcterms:modified xsi:type="dcterms:W3CDTF">2025-12-30T03:34:31Z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eyJoZGlkIjoiZWI5NWY2YmNlMTBmMzEwMTU3M2I2N2YyODhhZmYxNjEiLCJ1c2VySWQiOiIxMjc1NTIxODM4In0=</vt:lpwstr>
  </property>
  <property fmtid="{D5CDD505-2E9C-101B-9397-08002B2CF9AE}" pid="4" name="ICV">
    <vt:lpwstr>82F52E446DEE4D4087C045E0A4D39B19_13</vt:lpwstr>
  </property>
</Properties>
</file>