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17B65D">
      <w:pPr>
        <w:numPr>
          <w:ilvl w:val="0"/>
          <w:numId w:val="0"/>
        </w:numPr>
        <w:spacing w:line="360" w:lineRule="auto"/>
        <w:jc w:val="center"/>
        <w:rPr>
          <w:rFonts w:hint="eastAsia" w:ascii="Times New Roman" w:hAnsi="Times New Roman" w:eastAsia="黑体"/>
          <w:b/>
          <w:bCs w:val="0"/>
          <w:sz w:val="36"/>
          <w:szCs w:val="36"/>
          <w:lang w:val="en-US" w:eastAsia="zh-CN"/>
        </w:rPr>
      </w:pPr>
      <w:r>
        <w:rPr>
          <w:rFonts w:hint="eastAsia" w:ascii="Times New Roman" w:hAnsi="Times New Roman" w:eastAsia="黑体"/>
          <w:b/>
          <w:bCs w:val="0"/>
          <w:sz w:val="36"/>
          <w:szCs w:val="36"/>
          <w:lang w:val="en-US" w:eastAsia="zh-CN"/>
        </w:rPr>
        <w:t>2026年江西财经大学国际贸易学同等学力高级研修班招生简章</w:t>
      </w:r>
    </w:p>
    <w:p w14:paraId="08CEFD63">
      <w:pPr>
        <w:numPr>
          <w:ilvl w:val="0"/>
          <w:numId w:val="0"/>
        </w:numPr>
        <w:spacing w:line="360" w:lineRule="auto"/>
        <w:rPr>
          <w:rFonts w:hint="eastAsia" w:ascii="Times New Roman" w:hAnsi="Times New Roman" w:eastAsia="黑体"/>
          <w:bCs/>
          <w:sz w:val="24"/>
          <w:szCs w:val="24"/>
          <w:lang w:val="en-US" w:eastAsia="zh-CN"/>
        </w:rPr>
      </w:pPr>
    </w:p>
    <w:p w14:paraId="11F6785F">
      <w:pPr>
        <w:numPr>
          <w:ilvl w:val="0"/>
          <w:numId w:val="0"/>
        </w:numPr>
        <w:spacing w:line="360" w:lineRule="auto"/>
        <w:rPr>
          <w:rFonts w:hint="default" w:ascii="Times New Roman" w:hAnsi="Times New Roman" w:eastAsia="黑体"/>
          <w:bCs/>
          <w:sz w:val="24"/>
          <w:szCs w:val="24"/>
          <w:lang w:val="en-US" w:eastAsia="zh-CN"/>
        </w:rPr>
      </w:pPr>
      <w:r>
        <w:rPr>
          <w:rFonts w:hint="eastAsia" w:ascii="Times New Roman" w:hAnsi="Times New Roman" w:eastAsia="黑体"/>
          <w:bCs/>
          <w:sz w:val="24"/>
          <w:szCs w:val="24"/>
          <w:lang w:val="en-US" w:eastAsia="zh-CN"/>
        </w:rPr>
        <w:t>一、院校简介</w:t>
      </w:r>
    </w:p>
    <w:p w14:paraId="5EF1CE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仿宋_GB2312"/>
          <w:bCs/>
          <w:sz w:val="24"/>
          <w:szCs w:val="24"/>
          <w:lang w:val="en-US" w:eastAsia="zh-CN"/>
        </w:rPr>
      </w:pPr>
      <w:r>
        <w:rPr>
          <w:rFonts w:hint="eastAsia" w:ascii="Times New Roman" w:hAnsi="Times New Roman" w:eastAsia="仿宋_GB2312"/>
          <w:bCs/>
          <w:sz w:val="24"/>
          <w:szCs w:val="24"/>
          <w:lang w:val="en-US" w:eastAsia="zh-CN"/>
        </w:rPr>
        <w:t>江西财经大学是一所财政部、教育部、江西省人民政府共建，以经济、管理类学科为主，法、工、文、理、艺术等学科协调发展的高等财经学府。公开资料显示，学校位居中国CFO大学排行榜第5名，中国财经类大学排行榜第7名，国家一流本科专业精度排</w:t>
      </w:r>
      <w:bookmarkStart w:id="0" w:name="_GoBack"/>
      <w:bookmarkEnd w:id="0"/>
      <w:r>
        <w:rPr>
          <w:rFonts w:hint="eastAsia" w:ascii="Times New Roman" w:hAnsi="Times New Roman" w:eastAsia="仿宋_GB2312"/>
          <w:bCs/>
          <w:sz w:val="24"/>
          <w:szCs w:val="24"/>
          <w:lang w:val="en-US" w:eastAsia="zh-CN"/>
        </w:rPr>
        <w:t>行榜第15名，中国造富大学排行榜第16名，中国高管校友大学排行榜第30名，中国大学校友捐赠排行榜第47名，中国高校毕业生薪酬指数排行榜第71名。</w:t>
      </w:r>
    </w:p>
    <w:p w14:paraId="644598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仿宋_GB2312"/>
          <w:bCs/>
          <w:sz w:val="24"/>
          <w:szCs w:val="24"/>
          <w:lang w:val="en-US" w:eastAsia="zh-CN"/>
        </w:rPr>
      </w:pPr>
      <w:r>
        <w:rPr>
          <w:rFonts w:hint="eastAsia" w:ascii="Times New Roman" w:hAnsi="Times New Roman" w:eastAsia="仿宋_GB2312"/>
          <w:bCs/>
          <w:sz w:val="24"/>
          <w:szCs w:val="24"/>
          <w:lang w:val="en-US" w:eastAsia="zh-CN"/>
        </w:rPr>
        <w:t>国际经济与政治学院作为学校最早办学的4个教学单位之一，国际经济与政治学院肇始于1958年江西财经学院的贸易经济系，1995年更名为国际贸易系，1998年7月组建国际经济与贸易学院，2009年6月更名为国际经贸学院，2024年10月更名为国际经济与政治学院。学院设有江西财经大学“一带一路”研究院、大宗商品国际价格研究中心、贸易与环境研究中心、全球治理与亚太经济合作研究中心（深圳）4个研究机构，拥有1个博士点（国际贸易学）、3个硕士点（国际贸易学、世界经济、国际商务）、4个本科专业（国际经济与贸易、电子商务、国际商务、国际经济发展合作）。其中国际经济与贸易是教育部国家管理专业，江西省高校品牌专业。学院人才培养层次分明，学科生态合理。</w:t>
      </w:r>
    </w:p>
    <w:p w14:paraId="0AE6320F">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imes New Roman" w:hAnsi="Times New Roman" w:eastAsia="黑体"/>
          <w:bCs/>
          <w:sz w:val="24"/>
          <w:szCs w:val="24"/>
          <w:lang w:val="en-US" w:eastAsia="zh-CN"/>
        </w:rPr>
      </w:pPr>
      <w:r>
        <w:rPr>
          <w:rFonts w:hint="eastAsia" w:ascii="Times New Roman" w:hAnsi="Times New Roman" w:eastAsia="黑体"/>
          <w:bCs/>
          <w:sz w:val="24"/>
          <w:szCs w:val="24"/>
          <w:lang w:val="en-US" w:eastAsia="zh-CN"/>
        </w:rPr>
        <w:t>开设专业与学科概况</w:t>
      </w:r>
    </w:p>
    <w:p w14:paraId="2FB4A3E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rPr>
          <w:rFonts w:hint="eastAsia" w:ascii="Times New Roman" w:hAnsi="Times New Roman" w:eastAsia="仿宋_GB2312" w:cs="Times New Roman"/>
          <w:b/>
          <w:bCs w:val="0"/>
          <w:sz w:val="24"/>
          <w:szCs w:val="24"/>
          <w:lang w:val="en-US" w:eastAsia="zh-CN"/>
        </w:rPr>
      </w:pPr>
      <w:r>
        <w:rPr>
          <w:rFonts w:hint="eastAsia" w:ascii="Times New Roman" w:hAnsi="Times New Roman" w:eastAsia="仿宋_GB2312" w:cs="Times New Roman"/>
          <w:b/>
          <w:bCs w:val="0"/>
          <w:sz w:val="24"/>
          <w:szCs w:val="24"/>
          <w:lang w:val="en-US" w:eastAsia="zh-CN"/>
        </w:rPr>
        <w:t>开设专业：国际贸易学</w:t>
      </w:r>
    </w:p>
    <w:p w14:paraId="10BC5C3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仿宋_GB2312" w:cs="Times New Roman"/>
          <w:bCs/>
          <w:sz w:val="24"/>
          <w:szCs w:val="24"/>
          <w:lang w:val="en-US" w:eastAsia="zh-CN"/>
        </w:rPr>
      </w:pPr>
      <w:r>
        <w:rPr>
          <w:rFonts w:hint="eastAsia" w:ascii="Times New Roman" w:hAnsi="Times New Roman" w:eastAsia="仿宋_GB2312" w:cs="Times New Roman"/>
          <w:b w:val="0"/>
          <w:bCs/>
          <w:sz w:val="24"/>
          <w:szCs w:val="24"/>
          <w:lang w:val="en-US" w:eastAsia="zh-CN"/>
        </w:rPr>
        <w:t>本专业按照二级学科授予硕士学位。学科门类：经济学；一级学科：应用经济学；二级学科：国际贸易</w:t>
      </w:r>
    </w:p>
    <w:p w14:paraId="5784343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rPr>
          <w:rFonts w:hint="eastAsia" w:ascii="Times New Roman" w:hAnsi="Times New Roman" w:eastAsia="仿宋_GB2312" w:cs="Times New Roman"/>
          <w:bCs/>
          <w:sz w:val="24"/>
          <w:szCs w:val="24"/>
          <w:lang w:val="en-US" w:eastAsia="zh-CN"/>
        </w:rPr>
      </w:pPr>
      <w:r>
        <w:rPr>
          <w:rFonts w:hint="eastAsia" w:ascii="Times New Roman" w:hAnsi="Times New Roman" w:eastAsia="仿宋_GB2312" w:cs="Times New Roman"/>
          <w:b/>
          <w:bCs w:val="0"/>
          <w:sz w:val="24"/>
          <w:szCs w:val="24"/>
          <w:lang w:val="en-US" w:eastAsia="zh-CN"/>
        </w:rPr>
        <w:t>专业介绍：</w:t>
      </w:r>
      <w:r>
        <w:rPr>
          <w:rFonts w:hint="eastAsia" w:ascii="Times New Roman" w:hAnsi="Times New Roman" w:eastAsia="仿宋_GB2312" w:cs="Times New Roman"/>
          <w:bCs/>
          <w:sz w:val="24"/>
          <w:szCs w:val="24"/>
          <w:lang w:val="en-US" w:eastAsia="zh-CN"/>
        </w:rPr>
        <w:t>国际贸易学是应用经济学一级学科的二级学科分支，是一门以经济学理论为基础，研究货物、服务跨境交换与生产要素国际间流动的学科。国际贸易学的理论部分主要研究国际贸易产生的原因、贸易模式、贸易利益及其变化和影响，以及国际直接投资的形成和发展原因及其影响；国际贸易学的政策部分主要分析国际贸易和国际直接投资政策的理论基础、各类贸易和投资政策措施及其影响。</w:t>
      </w:r>
    </w:p>
    <w:p w14:paraId="53B4FC32">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default" w:ascii="Times New Roman" w:hAnsi="Times New Roman" w:eastAsia="仿宋_GB2312" w:cs="Times New Roman"/>
          <w:b/>
          <w:bCs w:val="0"/>
          <w:sz w:val="24"/>
          <w:szCs w:val="24"/>
          <w:lang w:val="en-US" w:eastAsia="zh-CN"/>
        </w:rPr>
      </w:pPr>
      <w:r>
        <w:rPr>
          <w:rFonts w:hint="eastAsia" w:ascii="Times New Roman" w:hAnsi="Times New Roman" w:eastAsia="仿宋_GB2312" w:cs="Times New Roman"/>
          <w:b/>
          <w:bCs w:val="0"/>
          <w:sz w:val="24"/>
          <w:szCs w:val="24"/>
          <w:lang w:val="en-US" w:eastAsia="zh-CN"/>
        </w:rPr>
        <w:t>研究方向：</w:t>
      </w:r>
    </w:p>
    <w:p w14:paraId="6119D10E">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Times New Roman" w:hAnsi="Times New Roman" w:eastAsia="仿宋_GB2312" w:cs="Times New Roman"/>
          <w:b/>
          <w:bCs w:val="0"/>
          <w:sz w:val="24"/>
          <w:szCs w:val="24"/>
          <w:lang w:val="en-US" w:eastAsia="zh-CN"/>
        </w:rPr>
      </w:pPr>
      <w:r>
        <w:rPr>
          <w:rFonts w:hint="eastAsia" w:ascii="Times New Roman" w:hAnsi="Times New Roman" w:eastAsia="仿宋_GB2312" w:cs="Times New Roman"/>
          <w:b/>
          <w:bCs w:val="0"/>
          <w:sz w:val="24"/>
          <w:szCs w:val="24"/>
          <w:lang w:val="en-US" w:eastAsia="zh-CN"/>
        </w:rPr>
        <w:t>方向1：数字贸易与绿色贸易研究</w:t>
      </w:r>
    </w:p>
    <w:p w14:paraId="73B111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仿宋_GB2312" w:cs="Times New Roman"/>
          <w:bCs/>
          <w:sz w:val="24"/>
          <w:szCs w:val="24"/>
          <w:lang w:val="en-US" w:eastAsia="zh-CN"/>
        </w:rPr>
      </w:pPr>
      <w:r>
        <w:rPr>
          <w:rFonts w:hint="eastAsia" w:ascii="Times New Roman" w:hAnsi="Times New Roman" w:eastAsia="仿宋_GB2312" w:cs="Times New Roman"/>
          <w:bCs/>
          <w:sz w:val="24"/>
          <w:szCs w:val="24"/>
          <w:lang w:val="en-US" w:eastAsia="zh-CN"/>
        </w:rPr>
        <w:t>主要研究内容：数字产业、数字贸易规则、大数据分析、互联网商业模式创新、智能营销、数字经济、国别数字贸易、数字化平台、数字化贸易管理、跨境电子商务理论与实务、绿色贸易政策与规制、绿色产业与贸易实践等。</w:t>
      </w:r>
    </w:p>
    <w:p w14:paraId="408B2036">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Times New Roman" w:hAnsi="Times New Roman" w:eastAsia="仿宋_GB2312" w:cs="Times New Roman"/>
          <w:b/>
          <w:bCs w:val="0"/>
          <w:sz w:val="24"/>
          <w:szCs w:val="24"/>
          <w:lang w:val="en-US" w:eastAsia="zh-CN"/>
        </w:rPr>
      </w:pPr>
      <w:r>
        <w:rPr>
          <w:rFonts w:hint="eastAsia" w:ascii="Times New Roman" w:hAnsi="Times New Roman" w:eastAsia="仿宋_GB2312" w:cs="Times New Roman"/>
          <w:b/>
          <w:bCs w:val="0"/>
          <w:sz w:val="24"/>
          <w:szCs w:val="24"/>
          <w:lang w:val="en-US" w:eastAsia="zh-CN"/>
        </w:rPr>
        <w:t>方向2：全球价值链研究</w:t>
      </w:r>
    </w:p>
    <w:p w14:paraId="56A61AB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仿宋_GB2312" w:cs="Times New Roman"/>
          <w:bCs/>
          <w:sz w:val="24"/>
          <w:szCs w:val="24"/>
          <w:lang w:val="en-US" w:eastAsia="zh-CN"/>
        </w:rPr>
      </w:pPr>
      <w:r>
        <w:rPr>
          <w:rFonts w:hint="eastAsia" w:ascii="Times New Roman" w:hAnsi="Times New Roman" w:eastAsia="仿宋_GB2312" w:cs="Times New Roman"/>
          <w:bCs/>
          <w:sz w:val="24"/>
          <w:szCs w:val="24"/>
          <w:lang w:val="en-US" w:eastAsia="zh-CN"/>
        </w:rPr>
        <w:t>主要研究内容：全球价值链理论、动力机制、治理机制、沿价值链产业升级模式、全球价值链案例研究、价值链分析方法等。</w:t>
      </w:r>
    </w:p>
    <w:p w14:paraId="2D22C7F0">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Times New Roman" w:hAnsi="Times New Roman" w:eastAsia="仿宋_GB2312" w:cs="Times New Roman"/>
          <w:b/>
          <w:bCs w:val="0"/>
          <w:sz w:val="24"/>
          <w:szCs w:val="24"/>
          <w:lang w:val="en-US" w:eastAsia="zh-CN"/>
        </w:rPr>
      </w:pPr>
      <w:r>
        <w:rPr>
          <w:rFonts w:hint="eastAsia" w:ascii="Times New Roman" w:hAnsi="Times New Roman" w:eastAsia="仿宋_GB2312" w:cs="Times New Roman"/>
          <w:b/>
          <w:bCs w:val="0"/>
          <w:sz w:val="24"/>
          <w:szCs w:val="24"/>
          <w:lang w:val="en-US" w:eastAsia="zh-CN"/>
        </w:rPr>
        <w:t>方向3：国际贸易理论与政策</w:t>
      </w:r>
    </w:p>
    <w:p w14:paraId="514A37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仿宋_GB2312" w:cs="Times New Roman"/>
          <w:bCs/>
          <w:sz w:val="24"/>
          <w:szCs w:val="24"/>
          <w:lang w:val="en-US" w:eastAsia="zh-CN"/>
        </w:rPr>
      </w:pPr>
      <w:r>
        <w:rPr>
          <w:rFonts w:hint="eastAsia" w:ascii="Times New Roman" w:hAnsi="Times New Roman" w:eastAsia="仿宋_GB2312" w:cs="Times New Roman"/>
          <w:bCs/>
          <w:sz w:val="24"/>
          <w:szCs w:val="24"/>
          <w:lang w:val="en-US" w:eastAsia="zh-CN"/>
        </w:rPr>
        <w:t>主要研究内容：各流派的贸易理论、贸易政策与经济发展、区域贸易协议及区域贸易安排、双边贸易协定与实践、自由贸易试验区理论与实践、对外投资理论与境外合作区实践、进出口政策、世界各国贸易政策、国别经济与贸易、中国及地方政府贸易投资政策等。</w:t>
      </w:r>
    </w:p>
    <w:p w14:paraId="57A1B92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bCs/>
          <w:sz w:val="24"/>
          <w:szCs w:val="24"/>
        </w:rPr>
      </w:pPr>
      <w:r>
        <w:rPr>
          <w:rFonts w:hint="eastAsia" w:ascii="Times New Roman" w:hAnsi="Times New Roman" w:eastAsia="黑体"/>
          <w:bCs/>
          <w:sz w:val="24"/>
          <w:szCs w:val="24"/>
          <w:lang w:val="en-US" w:eastAsia="zh-CN"/>
        </w:rPr>
        <w:t>三、报名条件</w:t>
      </w:r>
    </w:p>
    <w:p w14:paraId="4947AFFD">
      <w:pPr>
        <w:spacing w:line="360" w:lineRule="auto"/>
        <w:ind w:firstLine="480" w:firstLineChars="20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1.拥护《中华人民共和国宪法》，遵守法律、法规，品行端正。</w:t>
      </w:r>
    </w:p>
    <w:p w14:paraId="1FED31F7">
      <w:pPr>
        <w:spacing w:line="360" w:lineRule="auto"/>
        <w:ind w:firstLine="480" w:firstLineChars="20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2.具有大学本科学历，获得学士学位，并获得学士学位三年以上，或虽无本科学士学位但已获得硕士或博士学位者。对已获得的学士、硕士或博士学位为国（境）外学位的，其所获的国（境）外学位需经教育部留学服务中心认证。</w:t>
      </w:r>
    </w:p>
    <w:p w14:paraId="3C473898">
      <w:pPr>
        <w:spacing w:line="360" w:lineRule="auto"/>
        <w:ind w:firstLine="480" w:firstLineChars="20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3.学士学位未满三年者可以先入学参加课程学习，待满三年后可参加报名参加外语水平全国统一考试。</w:t>
      </w:r>
    </w:p>
    <w:p w14:paraId="1B83D0A5">
      <w:pPr>
        <w:spacing w:line="360" w:lineRule="auto"/>
        <w:ind w:firstLine="480" w:firstLineChars="20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4.具有大学本科学历，但无学士学位或大专学历者可参加课程学习，课程考试合格可获得江西财经大学课程结业证书，但不能申请学位。</w:t>
      </w:r>
    </w:p>
    <w:p w14:paraId="6626DB5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ascii="Times New Roman" w:hAnsi="Times New Roman" w:eastAsia="黑体"/>
          <w:bCs/>
          <w:sz w:val="24"/>
          <w:szCs w:val="24"/>
        </w:rPr>
      </w:pPr>
      <w:r>
        <w:rPr>
          <w:rFonts w:hint="eastAsia" w:ascii="Times New Roman" w:hAnsi="Times New Roman" w:eastAsia="黑体"/>
          <w:bCs/>
          <w:sz w:val="24"/>
          <w:szCs w:val="24"/>
          <w:lang w:val="en-US" w:eastAsia="zh-CN"/>
        </w:rPr>
        <w:t>四、各阶段相关要求</w:t>
      </w:r>
    </w:p>
    <w:p w14:paraId="3F22C6D2">
      <w:pPr>
        <w:spacing w:line="360" w:lineRule="auto"/>
        <w:ind w:firstLine="480" w:firstLineChars="20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同等学力人员申请硕士学位分为三个阶段：课程学习培养阶段（第一阶段）、全国统一考试阶段（第二阶段）和撰写学位论文及答辩阶段（第三阶段）。</w:t>
      </w:r>
    </w:p>
    <w:p w14:paraId="3ACACFF4">
      <w:pPr>
        <w:spacing w:line="360" w:lineRule="auto"/>
        <w:ind w:firstLine="480" w:firstLineChars="20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1.第一阶段（课程学习）：申请人自通过资格审查之日起，按学校教学进度安排，修完江西财经大学同等学力规定的全部课程，按要求参加课程考试，成绩合格，可获待江西财经大学课程结业证书（为同等学力教育）。课程学习期一般为1年，集中双休日线上授课。</w:t>
      </w:r>
    </w:p>
    <w:p w14:paraId="57916550">
      <w:pPr>
        <w:spacing w:line="360" w:lineRule="auto"/>
        <w:ind w:firstLine="480" w:firstLineChars="20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2.第二阶段（全国统一考试）：获得学士学位满3年并修满学校规定的学分者，申请同等学力人员申请硕士学位外国语水平全国统一考试和学科专业综合考试（每年一次）。全国统一组织的外国语水平考试和学科专业综合考试每年3月初报名，5月下旬考试。外语统考约3-4级水平。</w:t>
      </w:r>
    </w:p>
    <w:p w14:paraId="3FA2E379">
      <w:pPr>
        <w:spacing w:line="360" w:lineRule="auto"/>
        <w:ind w:firstLine="480" w:firstLineChars="20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3.第三阶段（论文写作答辩）：全国统一组织的外国语水平考试或学科专业综合考试成绩合格者，并完成课程学习者方可进入硕士学位论文写作阶段。论文通过评审、答辩，经我校学位委员会批准，授予国务院学位委员会统一颁发的硕士学位证书。学位论文及答辩阶段一般为1年左右，四年内未全部通过课程和全国统一考试者，所修课程学分无效。</w:t>
      </w:r>
    </w:p>
    <w:p w14:paraId="1139E0BF">
      <w:pPr>
        <w:pStyle w:val="5"/>
        <w:adjustRightInd w:val="0"/>
        <w:spacing w:line="360" w:lineRule="auto"/>
        <w:ind w:firstLine="48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注：申请人必须在完成规定学分并通过全国外语水平统考和学科专业综合考试后一年内向学校提出学位论文申请。</w:t>
      </w:r>
    </w:p>
    <w:p w14:paraId="5975EA6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黑体"/>
          <w:bCs/>
          <w:sz w:val="24"/>
          <w:szCs w:val="24"/>
          <w:lang w:val="en-US" w:eastAsia="zh-CN"/>
        </w:rPr>
      </w:pPr>
      <w:r>
        <w:rPr>
          <w:rFonts w:hint="eastAsia" w:ascii="Times New Roman" w:hAnsi="Times New Roman" w:eastAsia="黑体"/>
          <w:bCs/>
          <w:sz w:val="24"/>
          <w:szCs w:val="24"/>
          <w:lang w:val="en-US" w:eastAsia="zh-CN"/>
        </w:rPr>
        <w:t>五、</w:t>
      </w:r>
      <w:r>
        <w:rPr>
          <w:rFonts w:ascii="Times New Roman" w:hAnsi="Times New Roman" w:eastAsia="黑体"/>
          <w:bCs/>
          <w:sz w:val="24"/>
          <w:szCs w:val="24"/>
        </w:rPr>
        <w:t>学分要求</w:t>
      </w:r>
      <w:r>
        <w:rPr>
          <w:rFonts w:hint="eastAsia" w:ascii="Times New Roman" w:hAnsi="Times New Roman" w:eastAsia="黑体"/>
          <w:bCs/>
          <w:sz w:val="24"/>
          <w:szCs w:val="24"/>
          <w:lang w:val="en-US" w:eastAsia="zh-CN"/>
        </w:rPr>
        <w:t>与课程设置</w:t>
      </w:r>
    </w:p>
    <w:p w14:paraId="0FC0E94C">
      <w:pPr>
        <w:pStyle w:val="5"/>
        <w:adjustRightInd w:val="0"/>
        <w:spacing w:line="360" w:lineRule="auto"/>
        <w:ind w:firstLine="48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课程设置以我校本专业现行硕士研究生培养方案为基本依据。有公共课、必修课、选修课三大类，总计共修11门课，共28学分。所有课程均有教学经验丰富，学术水平高的具有高级职称或拥有博士学位的教师主讲。</w:t>
      </w:r>
    </w:p>
    <w:tbl>
      <w:tblPr>
        <w:tblStyle w:val="3"/>
        <w:tblW w:w="7018" w:type="dxa"/>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188"/>
        <w:gridCol w:w="3015"/>
        <w:gridCol w:w="621"/>
        <w:gridCol w:w="1194"/>
      </w:tblGrid>
      <w:tr w14:paraId="7913D31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312" w:hRule="atLeast"/>
          <w:tblHeader/>
          <w:jc w:val="center"/>
        </w:trPr>
        <w:tc>
          <w:tcPr>
            <w:tcW w:w="2188" w:type="dxa"/>
            <w:vMerge w:val="restart"/>
            <w:tcBorders>
              <w:top w:val="single" w:color="auto" w:sz="4" w:space="0"/>
              <w:left w:val="single" w:color="auto" w:sz="4" w:space="0"/>
              <w:bottom w:val="single" w:color="auto" w:sz="4" w:space="0"/>
              <w:right w:val="single" w:color="auto" w:sz="4" w:space="0"/>
            </w:tcBorders>
            <w:noWrap w:val="0"/>
            <w:vAlign w:val="center"/>
          </w:tcPr>
          <w:p w14:paraId="5651C8D8">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b/>
                <w:sz w:val="22"/>
                <w:szCs w:val="22"/>
                <w:lang w:val="en-US" w:eastAsia="zh-CN"/>
              </w:rPr>
            </w:pPr>
            <w:r>
              <w:rPr>
                <w:rFonts w:hint="eastAsia" w:ascii="仿宋" w:hAnsi="仿宋" w:eastAsia="仿宋" w:cs="仿宋"/>
                <w:b/>
                <w:sz w:val="22"/>
                <w:szCs w:val="22"/>
              </w:rPr>
              <w:t>课程</w:t>
            </w:r>
            <w:r>
              <w:rPr>
                <w:rFonts w:hint="eastAsia" w:ascii="仿宋" w:hAnsi="仿宋" w:eastAsia="仿宋" w:cs="仿宋"/>
                <w:b/>
                <w:sz w:val="22"/>
                <w:szCs w:val="22"/>
                <w:lang w:val="en-US" w:eastAsia="zh-CN"/>
              </w:rPr>
              <w:t>类别</w:t>
            </w:r>
          </w:p>
        </w:tc>
        <w:tc>
          <w:tcPr>
            <w:tcW w:w="3015" w:type="dxa"/>
            <w:vMerge w:val="restart"/>
            <w:tcBorders>
              <w:top w:val="single" w:color="auto" w:sz="4" w:space="0"/>
              <w:left w:val="single" w:color="auto" w:sz="4" w:space="0"/>
              <w:bottom w:val="single" w:color="auto" w:sz="4" w:space="0"/>
              <w:right w:val="single" w:color="auto" w:sz="4" w:space="0"/>
            </w:tcBorders>
            <w:noWrap w:val="0"/>
            <w:vAlign w:val="center"/>
          </w:tcPr>
          <w:p w14:paraId="73419182">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b/>
                <w:sz w:val="22"/>
                <w:szCs w:val="22"/>
                <w:lang w:val="en-US" w:eastAsia="zh-CN"/>
              </w:rPr>
            </w:pPr>
            <w:r>
              <w:rPr>
                <w:rFonts w:hint="eastAsia" w:ascii="仿宋" w:hAnsi="仿宋" w:eastAsia="仿宋" w:cs="仿宋"/>
                <w:b/>
                <w:sz w:val="22"/>
                <w:szCs w:val="22"/>
                <w:lang w:val="en-US" w:eastAsia="zh-CN"/>
              </w:rPr>
              <w:t>课程名称</w:t>
            </w:r>
          </w:p>
        </w:tc>
        <w:tc>
          <w:tcPr>
            <w:tcW w:w="621" w:type="dxa"/>
            <w:vMerge w:val="restart"/>
            <w:tcBorders>
              <w:top w:val="single" w:color="auto" w:sz="4" w:space="0"/>
              <w:left w:val="single" w:color="auto" w:sz="4" w:space="0"/>
              <w:bottom w:val="single" w:color="auto" w:sz="4" w:space="0"/>
              <w:right w:val="single" w:color="auto" w:sz="4" w:space="0"/>
            </w:tcBorders>
            <w:noWrap w:val="0"/>
            <w:vAlign w:val="center"/>
          </w:tcPr>
          <w:p w14:paraId="56970434">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b/>
                <w:sz w:val="22"/>
                <w:szCs w:val="22"/>
              </w:rPr>
            </w:pPr>
            <w:r>
              <w:rPr>
                <w:rFonts w:hint="eastAsia" w:ascii="仿宋" w:hAnsi="仿宋" w:eastAsia="仿宋" w:cs="仿宋"/>
                <w:b/>
                <w:sz w:val="22"/>
                <w:szCs w:val="22"/>
              </w:rPr>
              <w:t>学分</w:t>
            </w:r>
          </w:p>
        </w:tc>
        <w:tc>
          <w:tcPr>
            <w:tcW w:w="1194" w:type="dxa"/>
            <w:vMerge w:val="restart"/>
            <w:tcBorders>
              <w:top w:val="single" w:color="auto" w:sz="4" w:space="0"/>
              <w:left w:val="single" w:color="auto" w:sz="4" w:space="0"/>
              <w:bottom w:val="single" w:color="auto" w:sz="4" w:space="0"/>
              <w:right w:val="single" w:color="auto" w:sz="4" w:space="0"/>
            </w:tcBorders>
            <w:noWrap w:val="0"/>
            <w:vAlign w:val="center"/>
          </w:tcPr>
          <w:p w14:paraId="34157F3B">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b/>
                <w:sz w:val="22"/>
                <w:szCs w:val="22"/>
                <w:lang w:val="en-US" w:eastAsia="zh-CN"/>
              </w:rPr>
            </w:pPr>
            <w:r>
              <w:rPr>
                <w:rFonts w:hint="eastAsia" w:ascii="仿宋" w:hAnsi="仿宋" w:eastAsia="仿宋" w:cs="仿宋"/>
                <w:b/>
                <w:sz w:val="22"/>
                <w:szCs w:val="22"/>
                <w:lang w:val="en-US" w:eastAsia="zh-CN"/>
              </w:rPr>
              <w:t>授课方式</w:t>
            </w:r>
          </w:p>
        </w:tc>
      </w:tr>
      <w:tr w14:paraId="6542C5A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312" w:hRule="atLeast"/>
          <w:tblHeader/>
          <w:jc w:val="center"/>
        </w:trPr>
        <w:tc>
          <w:tcPr>
            <w:tcW w:w="2188" w:type="dxa"/>
            <w:vMerge w:val="continue"/>
            <w:tcBorders>
              <w:top w:val="single" w:color="auto" w:sz="4" w:space="0"/>
              <w:left w:val="single" w:color="auto" w:sz="4" w:space="0"/>
              <w:bottom w:val="single" w:color="auto" w:sz="4" w:space="0"/>
              <w:right w:val="single" w:color="auto" w:sz="4" w:space="0"/>
            </w:tcBorders>
            <w:noWrap w:val="0"/>
            <w:vAlign w:val="center"/>
          </w:tcPr>
          <w:p w14:paraId="04A82429">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b/>
                <w:sz w:val="22"/>
                <w:szCs w:val="22"/>
              </w:rPr>
            </w:pPr>
          </w:p>
        </w:tc>
        <w:tc>
          <w:tcPr>
            <w:tcW w:w="3015" w:type="dxa"/>
            <w:vMerge w:val="continue"/>
            <w:tcBorders>
              <w:top w:val="single" w:color="auto" w:sz="4" w:space="0"/>
              <w:left w:val="single" w:color="auto" w:sz="4" w:space="0"/>
              <w:bottom w:val="single" w:color="auto" w:sz="4" w:space="0"/>
              <w:right w:val="single" w:color="auto" w:sz="4" w:space="0"/>
            </w:tcBorders>
            <w:noWrap w:val="0"/>
            <w:vAlign w:val="center"/>
          </w:tcPr>
          <w:p w14:paraId="2E393C8A">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left"/>
              <w:textAlignment w:val="auto"/>
              <w:rPr>
                <w:rFonts w:hint="eastAsia" w:ascii="仿宋" w:hAnsi="仿宋" w:eastAsia="仿宋" w:cs="仿宋"/>
                <w:b/>
                <w:sz w:val="22"/>
                <w:szCs w:val="22"/>
                <w:lang w:val="en-US" w:eastAsia="zh-CN"/>
              </w:rPr>
            </w:pPr>
          </w:p>
        </w:tc>
        <w:tc>
          <w:tcPr>
            <w:tcW w:w="621" w:type="dxa"/>
            <w:vMerge w:val="continue"/>
            <w:tcBorders>
              <w:top w:val="single" w:color="auto" w:sz="4" w:space="0"/>
              <w:left w:val="single" w:color="auto" w:sz="4" w:space="0"/>
              <w:bottom w:val="single" w:color="auto" w:sz="4" w:space="0"/>
              <w:right w:val="single" w:color="auto" w:sz="4" w:space="0"/>
            </w:tcBorders>
            <w:noWrap w:val="0"/>
            <w:vAlign w:val="center"/>
          </w:tcPr>
          <w:p w14:paraId="3B81F5B7">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b/>
                <w:sz w:val="22"/>
                <w:szCs w:val="22"/>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14:paraId="65025514">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b/>
                <w:sz w:val="22"/>
                <w:szCs w:val="22"/>
              </w:rPr>
            </w:pPr>
          </w:p>
        </w:tc>
      </w:tr>
      <w:tr w14:paraId="2FBF628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5" w:hRule="atLeast"/>
          <w:jc w:val="center"/>
        </w:trPr>
        <w:tc>
          <w:tcPr>
            <w:tcW w:w="2188" w:type="dxa"/>
            <w:vMerge w:val="restart"/>
            <w:tcBorders>
              <w:top w:val="single" w:color="auto" w:sz="4" w:space="0"/>
              <w:left w:val="single" w:color="auto" w:sz="4" w:space="0"/>
              <w:bottom w:val="single" w:color="auto" w:sz="4" w:space="0"/>
              <w:right w:val="single" w:color="auto" w:sz="4" w:space="0"/>
            </w:tcBorders>
            <w:noWrap w:val="0"/>
            <w:vAlign w:val="center"/>
          </w:tcPr>
          <w:p w14:paraId="33B8F8E8">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公共课（2门）</w:t>
            </w:r>
          </w:p>
        </w:tc>
        <w:tc>
          <w:tcPr>
            <w:tcW w:w="3015" w:type="dxa"/>
            <w:tcBorders>
              <w:top w:val="single" w:color="auto" w:sz="4" w:space="0"/>
              <w:left w:val="single" w:color="auto" w:sz="4" w:space="0"/>
              <w:bottom w:val="single" w:color="auto" w:sz="4" w:space="0"/>
              <w:right w:val="single" w:color="auto" w:sz="4" w:space="0"/>
            </w:tcBorders>
            <w:noWrap w:val="0"/>
            <w:vAlign w:val="center"/>
          </w:tcPr>
          <w:p w14:paraId="07275EED">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left"/>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公共英语</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3D939111">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rPr>
            </w:pPr>
            <w:r>
              <w:rPr>
                <w:rFonts w:hint="eastAsia" w:ascii="仿宋" w:hAnsi="仿宋" w:eastAsia="仿宋" w:cs="仿宋"/>
                <w:sz w:val="22"/>
                <w:szCs w:val="22"/>
              </w:rPr>
              <w:t>2</w:t>
            </w:r>
          </w:p>
        </w:tc>
        <w:tc>
          <w:tcPr>
            <w:tcW w:w="1194" w:type="dxa"/>
            <w:vMerge w:val="restart"/>
            <w:tcBorders>
              <w:top w:val="single" w:color="auto" w:sz="4" w:space="0"/>
              <w:left w:val="single" w:color="auto" w:sz="4" w:space="0"/>
              <w:bottom w:val="single" w:color="auto" w:sz="4" w:space="0"/>
              <w:right w:val="single" w:color="auto" w:sz="4" w:space="0"/>
            </w:tcBorders>
            <w:noWrap w:val="0"/>
            <w:vAlign w:val="center"/>
          </w:tcPr>
          <w:p w14:paraId="7D571B72">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lang w:val="en-US"/>
              </w:rPr>
            </w:pPr>
            <w:r>
              <w:rPr>
                <w:rFonts w:hint="eastAsia" w:ascii="仿宋" w:hAnsi="仿宋" w:eastAsia="仿宋" w:cs="仿宋"/>
                <w:sz w:val="22"/>
                <w:szCs w:val="22"/>
                <w:lang w:val="en-US" w:eastAsia="zh-CN"/>
              </w:rPr>
              <w:t>线上</w:t>
            </w:r>
          </w:p>
        </w:tc>
      </w:tr>
      <w:tr w14:paraId="774662D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5" w:hRule="atLeast"/>
          <w:jc w:val="center"/>
        </w:trPr>
        <w:tc>
          <w:tcPr>
            <w:tcW w:w="2188" w:type="dxa"/>
            <w:vMerge w:val="continue"/>
            <w:tcBorders>
              <w:top w:val="single" w:color="auto" w:sz="4" w:space="0"/>
              <w:left w:val="single" w:color="auto" w:sz="4" w:space="0"/>
              <w:bottom w:val="single" w:color="auto" w:sz="4" w:space="0"/>
              <w:right w:val="single" w:color="auto" w:sz="4" w:space="0"/>
            </w:tcBorders>
            <w:noWrap w:val="0"/>
            <w:vAlign w:val="center"/>
          </w:tcPr>
          <w:p w14:paraId="5DC9298C">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rPr>
            </w:pPr>
          </w:p>
        </w:tc>
        <w:tc>
          <w:tcPr>
            <w:tcW w:w="3015" w:type="dxa"/>
            <w:tcBorders>
              <w:top w:val="single" w:color="auto" w:sz="4" w:space="0"/>
              <w:left w:val="single" w:color="auto" w:sz="4" w:space="0"/>
              <w:bottom w:val="single" w:color="auto" w:sz="4" w:space="0"/>
              <w:right w:val="single" w:color="auto" w:sz="4" w:space="0"/>
            </w:tcBorders>
            <w:noWrap w:val="0"/>
            <w:vAlign w:val="center"/>
          </w:tcPr>
          <w:p w14:paraId="56A8FBA6">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left"/>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科学社会主义理论与实践</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005F3CAE">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w:t>
            </w: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14:paraId="24822906">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rPr>
            </w:pPr>
          </w:p>
        </w:tc>
      </w:tr>
      <w:tr w14:paraId="7C2D038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5" w:hRule="atLeast"/>
          <w:jc w:val="center"/>
        </w:trPr>
        <w:tc>
          <w:tcPr>
            <w:tcW w:w="2188"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57B29318">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专业必修课（5门）</w:t>
            </w:r>
          </w:p>
        </w:tc>
        <w:tc>
          <w:tcPr>
            <w:tcW w:w="30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7103F2D">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left"/>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经济学研究方法</w:t>
            </w:r>
          </w:p>
        </w:tc>
        <w:tc>
          <w:tcPr>
            <w:tcW w:w="62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76D1EE9">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kern w:val="2"/>
                <w:sz w:val="22"/>
                <w:szCs w:val="22"/>
                <w:lang w:val="en-US" w:eastAsia="zh-CN" w:bidi="ar-SA"/>
              </w:rPr>
            </w:pPr>
            <w:r>
              <w:rPr>
                <w:rFonts w:hint="eastAsia" w:ascii="仿宋" w:hAnsi="仿宋" w:eastAsia="仿宋" w:cs="仿宋"/>
                <w:sz w:val="22"/>
                <w:szCs w:val="22"/>
                <w:lang w:val="en-US" w:eastAsia="zh-CN"/>
              </w:rPr>
              <w:t>3</w:t>
            </w:r>
          </w:p>
        </w:tc>
        <w:tc>
          <w:tcPr>
            <w:tcW w:w="1194"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75C8A03">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rPr>
            </w:pPr>
          </w:p>
        </w:tc>
      </w:tr>
      <w:tr w14:paraId="2F99C7C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5" w:hRule="atLeast"/>
          <w:jc w:val="center"/>
        </w:trPr>
        <w:tc>
          <w:tcPr>
            <w:tcW w:w="2188"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9018729">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rPr>
            </w:pPr>
          </w:p>
        </w:tc>
        <w:tc>
          <w:tcPr>
            <w:tcW w:w="30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CDEA2C8">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left"/>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国际经济学（中级）</w:t>
            </w:r>
          </w:p>
        </w:tc>
        <w:tc>
          <w:tcPr>
            <w:tcW w:w="62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CF456AC">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kern w:val="2"/>
                <w:sz w:val="22"/>
                <w:szCs w:val="22"/>
                <w:lang w:val="en-US" w:eastAsia="zh-CN" w:bidi="ar-SA"/>
              </w:rPr>
            </w:pPr>
            <w:r>
              <w:rPr>
                <w:rFonts w:hint="eastAsia" w:ascii="仿宋" w:hAnsi="仿宋" w:eastAsia="仿宋" w:cs="仿宋"/>
                <w:sz w:val="22"/>
                <w:szCs w:val="22"/>
                <w:lang w:val="en-US" w:eastAsia="zh-CN"/>
              </w:rPr>
              <w:t>3</w:t>
            </w:r>
          </w:p>
        </w:tc>
        <w:tc>
          <w:tcPr>
            <w:tcW w:w="1194"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BC7A082">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rPr>
            </w:pPr>
          </w:p>
        </w:tc>
      </w:tr>
      <w:tr w14:paraId="30AFCB3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5" w:hRule="atLeast"/>
          <w:jc w:val="center"/>
        </w:trPr>
        <w:tc>
          <w:tcPr>
            <w:tcW w:w="2188"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DE3171C">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rPr>
            </w:pPr>
          </w:p>
        </w:tc>
        <w:tc>
          <w:tcPr>
            <w:tcW w:w="30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4AFA165">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left"/>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数字贸易研究</w:t>
            </w:r>
          </w:p>
        </w:tc>
        <w:tc>
          <w:tcPr>
            <w:tcW w:w="62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667D3CB">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kern w:val="2"/>
                <w:sz w:val="22"/>
                <w:szCs w:val="22"/>
                <w:lang w:val="en-US" w:eastAsia="zh-CN" w:bidi="ar-SA"/>
              </w:rPr>
            </w:pPr>
            <w:r>
              <w:rPr>
                <w:rFonts w:hint="eastAsia" w:ascii="仿宋" w:hAnsi="仿宋" w:eastAsia="仿宋" w:cs="仿宋"/>
                <w:sz w:val="22"/>
                <w:szCs w:val="22"/>
                <w:lang w:val="en-US" w:eastAsia="zh-CN"/>
              </w:rPr>
              <w:t>2</w:t>
            </w:r>
          </w:p>
        </w:tc>
        <w:tc>
          <w:tcPr>
            <w:tcW w:w="1194"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A337EAB">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rPr>
            </w:pPr>
          </w:p>
        </w:tc>
      </w:tr>
      <w:tr w14:paraId="22DBA3A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5" w:hRule="atLeast"/>
          <w:jc w:val="center"/>
        </w:trPr>
        <w:tc>
          <w:tcPr>
            <w:tcW w:w="2188"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D783CAB">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rPr>
            </w:pPr>
          </w:p>
        </w:tc>
        <w:tc>
          <w:tcPr>
            <w:tcW w:w="30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66312DE">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left"/>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全球价值链研究</w:t>
            </w:r>
          </w:p>
        </w:tc>
        <w:tc>
          <w:tcPr>
            <w:tcW w:w="62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E5080CB">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kern w:val="2"/>
                <w:sz w:val="22"/>
                <w:szCs w:val="22"/>
                <w:lang w:val="en-US" w:eastAsia="zh-CN" w:bidi="ar-SA"/>
              </w:rPr>
            </w:pPr>
            <w:r>
              <w:rPr>
                <w:rFonts w:hint="eastAsia" w:ascii="仿宋" w:hAnsi="仿宋" w:eastAsia="仿宋" w:cs="仿宋"/>
                <w:sz w:val="22"/>
                <w:szCs w:val="22"/>
                <w:lang w:val="en-US" w:eastAsia="zh-CN"/>
              </w:rPr>
              <w:t>2</w:t>
            </w:r>
          </w:p>
        </w:tc>
        <w:tc>
          <w:tcPr>
            <w:tcW w:w="1194"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2326E12">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rPr>
            </w:pPr>
          </w:p>
        </w:tc>
      </w:tr>
      <w:tr w14:paraId="671B7D4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5" w:hRule="atLeast"/>
          <w:jc w:val="center"/>
        </w:trPr>
        <w:tc>
          <w:tcPr>
            <w:tcW w:w="2188" w:type="dxa"/>
            <w:vMerge w:val="continue"/>
            <w:tcBorders>
              <w:top w:val="single" w:color="auto" w:sz="4" w:space="0"/>
              <w:left w:val="single" w:color="auto" w:sz="4" w:space="0"/>
              <w:bottom w:val="single" w:color="auto" w:sz="4" w:space="0"/>
              <w:right w:val="single" w:color="auto" w:sz="4" w:space="0"/>
            </w:tcBorders>
            <w:noWrap w:val="0"/>
            <w:vAlign w:val="center"/>
          </w:tcPr>
          <w:p w14:paraId="123381E2">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lang w:val="en-US" w:eastAsia="zh-CN"/>
              </w:rPr>
            </w:pPr>
          </w:p>
        </w:tc>
        <w:tc>
          <w:tcPr>
            <w:tcW w:w="30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B180049">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left"/>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国际贸易前沿问题研究</w:t>
            </w:r>
          </w:p>
        </w:tc>
        <w:tc>
          <w:tcPr>
            <w:tcW w:w="62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AD8CB17">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kern w:val="2"/>
                <w:sz w:val="22"/>
                <w:szCs w:val="22"/>
                <w:lang w:val="en-US" w:eastAsia="zh-CN" w:bidi="ar-SA"/>
              </w:rPr>
            </w:pPr>
            <w:r>
              <w:rPr>
                <w:rFonts w:hint="eastAsia" w:ascii="仿宋" w:hAnsi="仿宋" w:eastAsia="仿宋" w:cs="仿宋"/>
                <w:sz w:val="22"/>
                <w:szCs w:val="22"/>
              </w:rPr>
              <w:t>2</w:t>
            </w: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14:paraId="43CA6A88">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rPr>
            </w:pPr>
          </w:p>
        </w:tc>
      </w:tr>
      <w:tr w14:paraId="0A523CB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5" w:hRule="atLeast"/>
          <w:jc w:val="center"/>
        </w:trPr>
        <w:tc>
          <w:tcPr>
            <w:tcW w:w="2188" w:type="dxa"/>
            <w:vMerge w:val="restart"/>
            <w:tcBorders>
              <w:top w:val="single" w:color="auto" w:sz="4" w:space="0"/>
              <w:left w:val="single" w:color="auto" w:sz="4" w:space="0"/>
              <w:bottom w:val="single" w:color="auto" w:sz="4" w:space="0"/>
              <w:right w:val="single" w:color="auto" w:sz="4" w:space="0"/>
            </w:tcBorders>
            <w:noWrap w:val="0"/>
            <w:vAlign w:val="center"/>
          </w:tcPr>
          <w:p w14:paraId="5159AF21">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专业选修课</w:t>
            </w:r>
          </w:p>
          <w:p w14:paraId="047C2091">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（任选2门）</w:t>
            </w:r>
          </w:p>
        </w:tc>
        <w:tc>
          <w:tcPr>
            <w:tcW w:w="30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CE92533">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left"/>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国际贸易实务研究</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0A956D0A">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194" w:type="dxa"/>
            <w:vMerge w:val="restart"/>
            <w:tcBorders>
              <w:top w:val="single" w:color="auto" w:sz="4" w:space="0"/>
              <w:left w:val="single" w:color="auto" w:sz="4" w:space="0"/>
              <w:bottom w:val="single" w:color="auto" w:sz="4" w:space="0"/>
              <w:right w:val="single" w:color="auto" w:sz="4" w:space="0"/>
            </w:tcBorders>
            <w:noWrap w:val="0"/>
            <w:vAlign w:val="center"/>
          </w:tcPr>
          <w:p w14:paraId="78C07182">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线上</w:t>
            </w:r>
          </w:p>
        </w:tc>
      </w:tr>
      <w:tr w14:paraId="6680405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5" w:hRule="atLeast"/>
          <w:jc w:val="center"/>
        </w:trPr>
        <w:tc>
          <w:tcPr>
            <w:tcW w:w="2188" w:type="dxa"/>
            <w:vMerge w:val="continue"/>
            <w:tcBorders>
              <w:top w:val="single" w:color="auto" w:sz="4" w:space="0"/>
              <w:left w:val="single" w:color="auto" w:sz="4" w:space="0"/>
              <w:bottom w:val="single" w:color="auto" w:sz="4" w:space="0"/>
              <w:right w:val="single" w:color="auto" w:sz="4" w:space="0"/>
            </w:tcBorders>
            <w:noWrap w:val="0"/>
            <w:vAlign w:val="center"/>
          </w:tcPr>
          <w:p w14:paraId="7484B1E1">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lang w:val="en-US" w:eastAsia="zh-CN"/>
              </w:rPr>
            </w:pPr>
          </w:p>
        </w:tc>
        <w:tc>
          <w:tcPr>
            <w:tcW w:w="30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8FC17D6">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left"/>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国别经贸专题研究</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5883A216">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14:paraId="5C15BF10">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rPr>
            </w:pPr>
          </w:p>
        </w:tc>
      </w:tr>
      <w:tr w14:paraId="2F71458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5" w:hRule="atLeast"/>
          <w:jc w:val="center"/>
        </w:trPr>
        <w:tc>
          <w:tcPr>
            <w:tcW w:w="2188" w:type="dxa"/>
            <w:vMerge w:val="continue"/>
            <w:tcBorders>
              <w:top w:val="single" w:color="auto" w:sz="4" w:space="0"/>
              <w:left w:val="single" w:color="auto" w:sz="4" w:space="0"/>
              <w:bottom w:val="single" w:color="auto" w:sz="4" w:space="0"/>
              <w:right w:val="single" w:color="auto" w:sz="4" w:space="0"/>
            </w:tcBorders>
            <w:noWrap w:val="0"/>
            <w:vAlign w:val="center"/>
          </w:tcPr>
          <w:p w14:paraId="6A8FA1B6">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lang w:val="en-US" w:eastAsia="zh-CN"/>
              </w:rPr>
            </w:pPr>
          </w:p>
        </w:tc>
        <w:tc>
          <w:tcPr>
            <w:tcW w:w="30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FACD5AC">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left"/>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贸易政策评价研究</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2A52CC1F">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14:paraId="0AA133D1">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rPr>
            </w:pPr>
          </w:p>
        </w:tc>
      </w:tr>
      <w:tr w14:paraId="1B71CF4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5" w:hRule="atLeast"/>
          <w:jc w:val="center"/>
        </w:trPr>
        <w:tc>
          <w:tcPr>
            <w:tcW w:w="2188" w:type="dxa"/>
            <w:vMerge w:val="continue"/>
            <w:tcBorders>
              <w:top w:val="single" w:color="auto" w:sz="4" w:space="0"/>
              <w:left w:val="single" w:color="auto" w:sz="4" w:space="0"/>
              <w:bottom w:val="single" w:color="auto" w:sz="4" w:space="0"/>
              <w:right w:val="single" w:color="auto" w:sz="4" w:space="0"/>
            </w:tcBorders>
            <w:noWrap w:val="0"/>
            <w:vAlign w:val="center"/>
          </w:tcPr>
          <w:p w14:paraId="7D114BF2">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lang w:val="en-US" w:eastAsia="zh-CN"/>
              </w:rPr>
            </w:pPr>
          </w:p>
        </w:tc>
        <w:tc>
          <w:tcPr>
            <w:tcW w:w="30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5050E47">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left"/>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大宗商品贸易研究</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622CE623">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14:paraId="24C0971D">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rPr>
            </w:pPr>
          </w:p>
        </w:tc>
      </w:tr>
      <w:tr w14:paraId="037C3C3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5" w:hRule="atLeast"/>
          <w:jc w:val="center"/>
        </w:trPr>
        <w:tc>
          <w:tcPr>
            <w:tcW w:w="2188" w:type="dxa"/>
            <w:vMerge w:val="continue"/>
            <w:tcBorders>
              <w:top w:val="single" w:color="auto" w:sz="4" w:space="0"/>
              <w:left w:val="single" w:color="auto" w:sz="4" w:space="0"/>
              <w:bottom w:val="single" w:color="auto" w:sz="4" w:space="0"/>
              <w:right w:val="single" w:color="auto" w:sz="4" w:space="0"/>
            </w:tcBorders>
            <w:noWrap w:val="0"/>
            <w:vAlign w:val="center"/>
          </w:tcPr>
          <w:p w14:paraId="5F2A147E">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lang w:val="en-US" w:eastAsia="zh-CN"/>
              </w:rPr>
            </w:pPr>
          </w:p>
        </w:tc>
        <w:tc>
          <w:tcPr>
            <w:tcW w:w="30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722E496">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left"/>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绿色贸易研究</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0D5B410A">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14:paraId="5BD10755">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rPr>
            </w:pPr>
          </w:p>
        </w:tc>
      </w:tr>
      <w:tr w14:paraId="023BA0D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5" w:hRule="atLeast"/>
          <w:jc w:val="center"/>
        </w:trPr>
        <w:tc>
          <w:tcPr>
            <w:tcW w:w="2188" w:type="dxa"/>
            <w:vMerge w:val="continue"/>
            <w:tcBorders>
              <w:top w:val="single" w:color="auto" w:sz="4" w:space="0"/>
              <w:left w:val="single" w:color="auto" w:sz="4" w:space="0"/>
              <w:bottom w:val="single" w:color="auto" w:sz="4" w:space="0"/>
              <w:right w:val="single" w:color="auto" w:sz="4" w:space="0"/>
            </w:tcBorders>
            <w:noWrap w:val="0"/>
            <w:vAlign w:val="center"/>
          </w:tcPr>
          <w:p w14:paraId="15CFAA00">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lang w:val="en-US" w:eastAsia="zh-CN"/>
              </w:rPr>
            </w:pPr>
          </w:p>
        </w:tc>
        <w:tc>
          <w:tcPr>
            <w:tcW w:w="30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36CAC36">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left"/>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空间经济学</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429EDD47">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14:paraId="478F8027">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rPr>
            </w:pPr>
          </w:p>
        </w:tc>
      </w:tr>
      <w:tr w14:paraId="19CAEB7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5" w:hRule="atLeast"/>
          <w:jc w:val="center"/>
        </w:trPr>
        <w:tc>
          <w:tcPr>
            <w:tcW w:w="2188" w:type="dxa"/>
            <w:vMerge w:val="continue"/>
            <w:tcBorders>
              <w:top w:val="single" w:color="auto" w:sz="4" w:space="0"/>
              <w:left w:val="single" w:color="auto" w:sz="4" w:space="0"/>
              <w:bottom w:val="single" w:color="auto" w:sz="4" w:space="0"/>
              <w:right w:val="single" w:color="auto" w:sz="4" w:space="0"/>
            </w:tcBorders>
            <w:noWrap w:val="0"/>
            <w:vAlign w:val="center"/>
          </w:tcPr>
          <w:p w14:paraId="5A4EF801">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lang w:val="en-US" w:eastAsia="zh-CN"/>
              </w:rPr>
            </w:pPr>
          </w:p>
        </w:tc>
        <w:tc>
          <w:tcPr>
            <w:tcW w:w="30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39E851C">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left"/>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跨境电子商务管理</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0D4D3677">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14:paraId="5CC5B7F3">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rPr>
            </w:pPr>
          </w:p>
        </w:tc>
      </w:tr>
      <w:tr w14:paraId="7335F24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5" w:hRule="atLeast"/>
          <w:jc w:val="center"/>
        </w:trPr>
        <w:tc>
          <w:tcPr>
            <w:tcW w:w="2188" w:type="dxa"/>
            <w:vMerge w:val="continue"/>
            <w:tcBorders>
              <w:top w:val="single" w:color="auto" w:sz="4" w:space="0"/>
              <w:left w:val="single" w:color="auto" w:sz="4" w:space="0"/>
              <w:bottom w:val="single" w:color="auto" w:sz="4" w:space="0"/>
              <w:right w:val="single" w:color="auto" w:sz="4" w:space="0"/>
            </w:tcBorders>
            <w:noWrap w:val="0"/>
            <w:vAlign w:val="center"/>
          </w:tcPr>
          <w:p w14:paraId="0DA84B46">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lang w:val="en-US" w:eastAsia="zh-CN"/>
              </w:rPr>
            </w:pPr>
          </w:p>
        </w:tc>
        <w:tc>
          <w:tcPr>
            <w:tcW w:w="30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4F6C9B9">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left"/>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国际市场营销研究</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6DC0C35C">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14:paraId="0475445D">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rPr>
            </w:pPr>
          </w:p>
        </w:tc>
      </w:tr>
      <w:tr w14:paraId="0C2C178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5" w:hRule="atLeast"/>
          <w:jc w:val="center"/>
        </w:trPr>
        <w:tc>
          <w:tcPr>
            <w:tcW w:w="2188" w:type="dxa"/>
            <w:vMerge w:val="continue"/>
            <w:tcBorders>
              <w:top w:val="single" w:color="auto" w:sz="4" w:space="0"/>
              <w:left w:val="single" w:color="auto" w:sz="4" w:space="0"/>
              <w:bottom w:val="single" w:color="auto" w:sz="4" w:space="0"/>
              <w:right w:val="single" w:color="auto" w:sz="4" w:space="0"/>
            </w:tcBorders>
            <w:noWrap w:val="0"/>
            <w:vAlign w:val="center"/>
          </w:tcPr>
          <w:p w14:paraId="487B423C">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lang w:val="en-US" w:eastAsia="zh-CN"/>
              </w:rPr>
            </w:pPr>
          </w:p>
        </w:tc>
        <w:tc>
          <w:tcPr>
            <w:tcW w:w="30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F6E540F">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left"/>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创新实践课程</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37A3D197">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14:paraId="5CCBA5F0">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rPr>
            </w:pPr>
          </w:p>
        </w:tc>
      </w:tr>
      <w:tr w14:paraId="5045A26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285" w:hRule="atLeast"/>
          <w:jc w:val="center"/>
        </w:trPr>
        <w:tc>
          <w:tcPr>
            <w:tcW w:w="2188" w:type="dxa"/>
            <w:vMerge w:val="continue"/>
            <w:tcBorders>
              <w:top w:val="single" w:color="auto" w:sz="4" w:space="0"/>
              <w:left w:val="single" w:color="auto" w:sz="4" w:space="0"/>
              <w:bottom w:val="single" w:color="auto" w:sz="4" w:space="0"/>
              <w:right w:val="single" w:color="auto" w:sz="4" w:space="0"/>
            </w:tcBorders>
            <w:vAlign w:val="center"/>
          </w:tcPr>
          <w:p w14:paraId="5EA81CCB">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lang w:val="en-US" w:eastAsia="zh-CN"/>
              </w:rPr>
            </w:pP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03216874">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left"/>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WTO研究</w:t>
            </w:r>
          </w:p>
        </w:tc>
        <w:tc>
          <w:tcPr>
            <w:tcW w:w="621" w:type="dxa"/>
            <w:tcBorders>
              <w:top w:val="single" w:color="auto" w:sz="4" w:space="0"/>
              <w:left w:val="single" w:color="auto" w:sz="4" w:space="0"/>
              <w:bottom w:val="single" w:color="auto" w:sz="4" w:space="0"/>
              <w:right w:val="single" w:color="auto" w:sz="4" w:space="0"/>
            </w:tcBorders>
            <w:vAlign w:val="center"/>
          </w:tcPr>
          <w:p w14:paraId="0289767E">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194" w:type="dxa"/>
            <w:vMerge w:val="continue"/>
            <w:tcBorders>
              <w:top w:val="single" w:color="auto" w:sz="4" w:space="0"/>
              <w:left w:val="single" w:color="auto" w:sz="4" w:space="0"/>
              <w:bottom w:val="single" w:color="auto" w:sz="4" w:space="0"/>
              <w:right w:val="single" w:color="auto" w:sz="4" w:space="0"/>
            </w:tcBorders>
            <w:vAlign w:val="center"/>
          </w:tcPr>
          <w:p w14:paraId="377F798C">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rPr>
            </w:pPr>
          </w:p>
        </w:tc>
      </w:tr>
      <w:tr w14:paraId="38BDFBA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312" w:hRule="atLeast"/>
          <w:jc w:val="center"/>
        </w:trPr>
        <w:tc>
          <w:tcPr>
            <w:tcW w:w="2188" w:type="dxa"/>
            <w:vMerge w:val="continue"/>
            <w:tcBorders>
              <w:top w:val="single" w:color="auto" w:sz="4" w:space="0"/>
              <w:left w:val="single" w:color="auto" w:sz="4" w:space="0"/>
              <w:bottom w:val="single" w:color="auto" w:sz="4" w:space="0"/>
              <w:right w:val="single" w:color="auto" w:sz="4" w:space="0"/>
            </w:tcBorders>
            <w:vAlign w:val="center"/>
          </w:tcPr>
          <w:p w14:paraId="778EDF52">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lang w:val="en-US" w:eastAsia="zh-CN"/>
              </w:rPr>
            </w:pPr>
          </w:p>
        </w:tc>
        <w:tc>
          <w:tcPr>
            <w:tcW w:w="3015" w:type="dxa"/>
            <w:tcBorders>
              <w:top w:val="single" w:color="auto" w:sz="4" w:space="0"/>
              <w:left w:val="single" w:color="auto" w:sz="4" w:space="0"/>
              <w:bottom w:val="single" w:color="auto" w:sz="4" w:space="0"/>
              <w:right w:val="single" w:color="auto" w:sz="4" w:space="0"/>
            </w:tcBorders>
            <w:shd w:val="clear" w:color="auto" w:fill="auto"/>
            <w:vAlign w:val="center"/>
          </w:tcPr>
          <w:p w14:paraId="55F8C874">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left"/>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中国对外贸易研究</w:t>
            </w:r>
          </w:p>
        </w:tc>
        <w:tc>
          <w:tcPr>
            <w:tcW w:w="621" w:type="dxa"/>
            <w:tcBorders>
              <w:top w:val="single" w:color="auto" w:sz="4" w:space="0"/>
              <w:left w:val="single" w:color="auto" w:sz="4" w:space="0"/>
              <w:bottom w:val="single" w:color="auto" w:sz="4" w:space="0"/>
              <w:right w:val="single" w:color="auto" w:sz="4" w:space="0"/>
            </w:tcBorders>
            <w:vAlign w:val="center"/>
          </w:tcPr>
          <w:p w14:paraId="3BFDB35A">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194" w:type="dxa"/>
            <w:vMerge w:val="continue"/>
            <w:tcBorders>
              <w:top w:val="single" w:color="auto" w:sz="4" w:space="0"/>
              <w:left w:val="single" w:color="auto" w:sz="4" w:space="0"/>
              <w:bottom w:val="single" w:color="auto" w:sz="4" w:space="0"/>
              <w:right w:val="single" w:color="auto" w:sz="4" w:space="0"/>
            </w:tcBorders>
            <w:vAlign w:val="center"/>
          </w:tcPr>
          <w:p w14:paraId="67289AA3">
            <w:pPr>
              <w:keepNext w:val="0"/>
              <w:keepLines w:val="0"/>
              <w:pageBreakBefore w:val="0"/>
              <w:kinsoku/>
              <w:wordWrap/>
              <w:overflowPunct/>
              <w:topLinePunct w:val="0"/>
              <w:autoSpaceDE/>
              <w:autoSpaceDN/>
              <w:bidi w:val="0"/>
              <w:adjustRightInd w:val="0"/>
              <w:snapToGrid w:val="0"/>
              <w:spacing w:beforeAutospacing="0" w:afterAutospacing="0" w:line="240" w:lineRule="auto"/>
              <w:ind w:left="0" w:leftChars="0" w:right="0" w:rightChars="0" w:firstLine="0" w:firstLineChars="0"/>
              <w:jc w:val="center"/>
              <w:textAlignment w:val="auto"/>
              <w:rPr>
                <w:rFonts w:hint="eastAsia" w:ascii="仿宋" w:hAnsi="仿宋" w:eastAsia="仿宋" w:cs="仿宋"/>
                <w:sz w:val="22"/>
                <w:szCs w:val="22"/>
              </w:rPr>
            </w:pPr>
          </w:p>
        </w:tc>
      </w:tr>
    </w:tbl>
    <w:p w14:paraId="70008461">
      <w:pPr>
        <w:pStyle w:val="2"/>
        <w:keepNext w:val="0"/>
        <w:keepLines w:val="0"/>
        <w:widowControl/>
        <w:suppressLineNumbers w:val="0"/>
        <w:shd w:val="clear" w:color="auto" w:fill="FFFFFF"/>
        <w:spacing w:before="100" w:beforeAutospacing="0" w:after="100" w:afterAutospacing="0" w:line="360" w:lineRule="auto"/>
        <w:ind w:left="0" w:firstLine="0"/>
        <w:rPr>
          <w:rFonts w:ascii="Times New Roman" w:hAnsi="Times New Roman" w:eastAsia="黑体" w:cs="宋体"/>
          <w:bCs/>
          <w:kern w:val="2"/>
          <w:sz w:val="24"/>
          <w:szCs w:val="24"/>
          <w:lang w:val="en-US" w:bidi="ar-SA"/>
        </w:rPr>
      </w:pPr>
      <w:r>
        <w:rPr>
          <w:rFonts w:hint="eastAsia" w:ascii="Times New Roman" w:hAnsi="Times New Roman" w:eastAsia="黑体" w:cs="宋体"/>
          <w:bCs/>
          <w:kern w:val="2"/>
          <w:sz w:val="24"/>
          <w:szCs w:val="24"/>
          <w:lang w:val="en-US" w:eastAsia="zh-CN" w:bidi="ar-SA"/>
        </w:rPr>
        <w:t>六、</w:t>
      </w:r>
      <w:r>
        <w:rPr>
          <w:rFonts w:hint="eastAsia" w:ascii="Times New Roman" w:hAnsi="Times New Roman" w:eastAsia="黑体" w:cs="宋体"/>
          <w:bCs/>
          <w:kern w:val="2"/>
          <w:sz w:val="24"/>
          <w:szCs w:val="24"/>
          <w:lang w:val="en-US" w:bidi="ar-SA"/>
        </w:rPr>
        <w:t>缴纳学费</w:t>
      </w:r>
    </w:p>
    <w:p w14:paraId="7B8E50F5">
      <w:pPr>
        <w:pStyle w:val="5"/>
        <w:adjustRightInd w:val="0"/>
        <w:spacing w:line="360" w:lineRule="auto"/>
        <w:ind w:firstLine="480"/>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根据我校下发的《江西财经大学同等学力人员申请硕士学位收入管理办法》的通知（江财财务字【2022】4号）文件精神，从即日起，学费缴纳分两段制进行，即课程学习阶段和撰写学位论文及答辩阶段。课程学习阶段学费为</w:t>
      </w:r>
      <w:r>
        <w:rPr>
          <w:rFonts w:hint="default" w:ascii="Times New Roman" w:hAnsi="Times New Roman" w:eastAsia="仿宋_GB2312" w:cs="宋体"/>
          <w:bCs/>
          <w:kern w:val="2"/>
          <w:sz w:val="24"/>
          <w:szCs w:val="24"/>
          <w:lang w:val="en-US" w:eastAsia="zh-CN" w:bidi="ar-SA"/>
        </w:rPr>
        <w:t>15000</w:t>
      </w:r>
      <w:r>
        <w:rPr>
          <w:rFonts w:hint="eastAsia" w:ascii="Times New Roman" w:hAnsi="Times New Roman" w:eastAsia="仿宋_GB2312" w:cs="宋体"/>
          <w:bCs/>
          <w:kern w:val="2"/>
          <w:sz w:val="24"/>
          <w:szCs w:val="24"/>
          <w:lang w:val="en-US" w:eastAsia="zh-CN" w:bidi="ar-SA"/>
        </w:rPr>
        <w:t>元，教材、资料自理。撰写学位论文及答辩阶段学费为8000元，各项收费实际以学校相关规定为准。学生缴纳相关费用后，可获得学校财务处开具的电子缴费发票。</w:t>
      </w:r>
    </w:p>
    <w:p w14:paraId="743E8982">
      <w:pPr>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textAlignment w:val="auto"/>
        <w:rPr>
          <w:rFonts w:hint="eastAsia" w:ascii="黑体" w:hAnsi="宋体" w:eastAsia="黑体" w:cs="Times New Roman"/>
          <w:bCs/>
          <w:color w:val="000000" w:themeColor="text1"/>
          <w:sz w:val="24"/>
          <w:szCs w:val="24"/>
          <w:lang w:val="en-US" w:eastAsia="zh-Hans"/>
          <w14:textFill>
            <w14:solidFill>
              <w14:schemeClr w14:val="tx1"/>
            </w14:solidFill>
          </w14:textFill>
        </w:rPr>
      </w:pPr>
      <w:r>
        <w:rPr>
          <w:rFonts w:hint="eastAsia" w:ascii="黑体" w:hAnsi="宋体" w:eastAsia="黑体" w:cs="Times New Roman"/>
          <w:bCs/>
          <w:color w:val="000000" w:themeColor="text1"/>
          <w:sz w:val="24"/>
          <w:szCs w:val="24"/>
          <w:lang w:val="en-US" w:eastAsia="zh-CN"/>
          <w14:textFill>
            <w14:solidFill>
              <w14:schemeClr w14:val="tx1"/>
            </w14:solidFill>
          </w14:textFill>
        </w:rPr>
        <w:t>七、</w:t>
      </w:r>
      <w:r>
        <w:rPr>
          <w:rFonts w:hint="eastAsia" w:ascii="黑体" w:hAnsi="宋体" w:eastAsia="黑体" w:cs="Times New Roman"/>
          <w:bCs/>
          <w:color w:val="000000" w:themeColor="text1"/>
          <w:sz w:val="24"/>
          <w:szCs w:val="24"/>
          <w:lang w:val="en-US" w:eastAsia="zh-Hans"/>
          <w14:textFill>
            <w14:solidFill>
              <w14:schemeClr w14:val="tx1"/>
            </w14:solidFill>
          </w14:textFill>
        </w:rPr>
        <w:t>其他事项</w:t>
      </w:r>
    </w:p>
    <w:p w14:paraId="4EE029D8">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eastAsia="仿宋_GB2312" w:cs="宋体"/>
          <w:bCs/>
          <w:kern w:val="2"/>
          <w:sz w:val="24"/>
          <w:szCs w:val="24"/>
          <w:lang w:val="en-US" w:eastAsia="zh-Hans" w:bidi="ar-SA"/>
        </w:rPr>
      </w:pPr>
      <w:r>
        <w:rPr>
          <w:rFonts w:hint="eastAsia" w:ascii="Times New Roman" w:hAnsi="Times New Roman" w:eastAsia="仿宋_GB2312" w:cs="宋体"/>
          <w:bCs/>
          <w:kern w:val="2"/>
          <w:sz w:val="24"/>
          <w:szCs w:val="24"/>
          <w:lang w:val="en-US" w:eastAsia="zh-Hans" w:bidi="ar-SA"/>
        </w:rPr>
        <w:t>1</w:t>
      </w:r>
      <w:r>
        <w:rPr>
          <w:rFonts w:hint="eastAsia" w:ascii="Times New Roman" w:hAnsi="Times New Roman" w:eastAsia="仿宋_GB2312" w:cs="宋体"/>
          <w:bCs/>
          <w:kern w:val="2"/>
          <w:sz w:val="24"/>
          <w:szCs w:val="24"/>
          <w:lang w:val="en-US" w:eastAsia="zh-CN" w:bidi="ar-SA"/>
        </w:rPr>
        <w:t>.</w:t>
      </w:r>
      <w:r>
        <w:rPr>
          <w:rFonts w:hint="eastAsia" w:ascii="Times New Roman" w:hAnsi="Times New Roman" w:eastAsia="仿宋_GB2312" w:cs="宋体"/>
          <w:bCs/>
          <w:kern w:val="2"/>
          <w:sz w:val="24"/>
          <w:szCs w:val="24"/>
          <w:lang w:val="en-US" w:eastAsia="zh-Hans" w:bidi="ar-SA"/>
        </w:rPr>
        <w:t>申请人提交的学历证书，学位证书。论文等必须真实有效，否则</w:t>
      </w:r>
      <w:r>
        <w:rPr>
          <w:rFonts w:hint="eastAsia" w:ascii="Times New Roman" w:hAnsi="Times New Roman" w:eastAsia="仿宋_GB2312" w:cs="宋体"/>
          <w:bCs/>
          <w:kern w:val="2"/>
          <w:sz w:val="24"/>
          <w:szCs w:val="24"/>
          <w:lang w:val="en-US" w:eastAsia="zh-CN" w:bidi="ar-SA"/>
        </w:rPr>
        <w:t>不得</w:t>
      </w:r>
      <w:r>
        <w:rPr>
          <w:rFonts w:hint="eastAsia" w:ascii="Times New Roman" w:hAnsi="Times New Roman" w:eastAsia="仿宋_GB2312" w:cs="宋体"/>
          <w:bCs/>
          <w:kern w:val="2"/>
          <w:sz w:val="24"/>
          <w:szCs w:val="24"/>
          <w:lang w:val="en-US" w:eastAsia="zh-Hans" w:bidi="ar-SA"/>
        </w:rPr>
        <w:t>申请硕士学位。若因证书不真实造成后果，一切责任由本人自负。</w:t>
      </w:r>
    </w:p>
    <w:p w14:paraId="36D4DBC2">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eastAsia="仿宋_GB2312" w:cs="宋体"/>
          <w:bCs/>
          <w:kern w:val="2"/>
          <w:sz w:val="24"/>
          <w:szCs w:val="24"/>
          <w:lang w:val="en-US" w:eastAsia="zh-Hans" w:bidi="ar-SA"/>
        </w:rPr>
      </w:pPr>
      <w:r>
        <w:rPr>
          <w:rFonts w:hint="eastAsia" w:ascii="Times New Roman" w:hAnsi="Times New Roman" w:eastAsia="仿宋_GB2312" w:cs="宋体"/>
          <w:bCs/>
          <w:kern w:val="2"/>
          <w:sz w:val="24"/>
          <w:szCs w:val="24"/>
          <w:lang w:val="en-US" w:eastAsia="zh-Hans" w:bidi="ar-SA"/>
        </w:rPr>
        <w:t>2</w:t>
      </w:r>
      <w:r>
        <w:rPr>
          <w:rFonts w:hint="eastAsia" w:ascii="Times New Roman" w:hAnsi="Times New Roman" w:eastAsia="仿宋_GB2312" w:cs="宋体"/>
          <w:bCs/>
          <w:kern w:val="2"/>
          <w:sz w:val="24"/>
          <w:szCs w:val="24"/>
          <w:lang w:val="en-US" w:eastAsia="zh-CN" w:bidi="ar-SA"/>
        </w:rPr>
        <w:t>.</w:t>
      </w:r>
      <w:r>
        <w:rPr>
          <w:rFonts w:hint="eastAsia" w:ascii="Times New Roman" w:hAnsi="Times New Roman" w:eastAsia="仿宋_GB2312" w:cs="宋体"/>
          <w:bCs/>
          <w:kern w:val="2"/>
          <w:sz w:val="24"/>
          <w:szCs w:val="24"/>
          <w:lang w:val="en-US" w:eastAsia="zh-Hans" w:bidi="ar-SA"/>
        </w:rPr>
        <w:t>申请人因个人原因中止学习，所交费用不予退还。</w:t>
      </w:r>
    </w:p>
    <w:p w14:paraId="4DB43266">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Hans" w:bidi="ar-SA"/>
        </w:rPr>
        <w:t>3</w:t>
      </w:r>
      <w:r>
        <w:rPr>
          <w:rFonts w:hint="eastAsia" w:ascii="Times New Roman" w:hAnsi="Times New Roman" w:eastAsia="仿宋_GB2312" w:cs="宋体"/>
          <w:bCs/>
          <w:kern w:val="2"/>
          <w:sz w:val="24"/>
          <w:szCs w:val="24"/>
          <w:lang w:val="en-US" w:eastAsia="zh-CN" w:bidi="ar-SA"/>
        </w:rPr>
        <w:t>.</w:t>
      </w:r>
      <w:r>
        <w:rPr>
          <w:rFonts w:hint="eastAsia" w:ascii="Times New Roman" w:hAnsi="Times New Roman" w:eastAsia="仿宋_GB2312" w:cs="宋体"/>
          <w:bCs/>
          <w:kern w:val="2"/>
          <w:sz w:val="24"/>
          <w:szCs w:val="24"/>
          <w:lang w:val="en-US" w:eastAsia="zh-Hans" w:bidi="ar-SA"/>
        </w:rPr>
        <w:t>参加国家考试费用，学习期间的书籍资料费、学位论文打印费、到校听课、参加考试、论文答辩的差旅、食宿等各项费用自理</w:t>
      </w:r>
      <w:r>
        <w:rPr>
          <w:rFonts w:hint="eastAsia" w:ascii="Times New Roman" w:hAnsi="Times New Roman" w:eastAsia="仿宋_GB2312" w:cs="宋体"/>
          <w:bCs/>
          <w:kern w:val="2"/>
          <w:sz w:val="24"/>
          <w:szCs w:val="24"/>
          <w:lang w:val="en-US" w:eastAsia="zh-CN" w:bidi="ar-SA"/>
        </w:rPr>
        <w:t>。</w:t>
      </w:r>
    </w:p>
    <w:p w14:paraId="3C02DFF8">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Hans" w:bidi="ar-SA"/>
        </w:rPr>
        <w:t>4</w:t>
      </w:r>
      <w:r>
        <w:rPr>
          <w:rFonts w:hint="eastAsia" w:ascii="Times New Roman" w:hAnsi="Times New Roman" w:eastAsia="仿宋_GB2312" w:cs="宋体"/>
          <w:bCs/>
          <w:kern w:val="2"/>
          <w:sz w:val="24"/>
          <w:szCs w:val="24"/>
          <w:lang w:val="en-US" w:eastAsia="zh-CN" w:bidi="ar-SA"/>
        </w:rPr>
        <w:t>.</w:t>
      </w:r>
      <w:r>
        <w:rPr>
          <w:rFonts w:hint="eastAsia" w:ascii="Times New Roman" w:hAnsi="Times New Roman" w:eastAsia="仿宋_GB2312" w:cs="宋体"/>
          <w:bCs/>
          <w:kern w:val="2"/>
          <w:sz w:val="24"/>
          <w:szCs w:val="24"/>
          <w:lang w:val="en-US" w:eastAsia="zh-Hans" w:bidi="ar-SA"/>
        </w:rPr>
        <w:t>所有教学、考试规定都以江西财经大学研究生院相关政策为准</w:t>
      </w:r>
      <w:r>
        <w:rPr>
          <w:rFonts w:hint="eastAsia" w:ascii="Times New Roman" w:hAnsi="Times New Roman" w:eastAsia="仿宋_GB2312" w:cs="宋体"/>
          <w:bCs/>
          <w:kern w:val="2"/>
          <w:sz w:val="24"/>
          <w:szCs w:val="24"/>
          <w:lang w:val="en-US" w:eastAsia="zh-CN" w:bidi="ar-SA"/>
        </w:rPr>
        <w:t>。</w:t>
      </w:r>
    </w:p>
    <w:p w14:paraId="2E3D80E4">
      <w:pPr>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textAlignment w:val="auto"/>
        <w:rPr>
          <w:rFonts w:hint="eastAsia" w:ascii="黑体" w:hAnsi="宋体" w:eastAsia="黑体" w:cs="Times New Roman"/>
          <w:bCs/>
          <w:color w:val="000000" w:themeColor="text1"/>
          <w:sz w:val="24"/>
          <w:szCs w:val="24"/>
          <w:lang w:val="en-US" w:eastAsia="zh-Hans"/>
          <w14:textFill>
            <w14:solidFill>
              <w14:schemeClr w14:val="tx1"/>
            </w14:solidFill>
          </w14:textFill>
        </w:rPr>
      </w:pPr>
      <w:r>
        <w:rPr>
          <w:rFonts w:hint="eastAsia" w:ascii="黑体" w:hAnsi="宋体" w:eastAsia="黑体" w:cs="Times New Roman"/>
          <w:bCs/>
          <w:color w:val="000000" w:themeColor="text1"/>
          <w:sz w:val="24"/>
          <w:szCs w:val="24"/>
          <w:lang w:val="en-US" w:eastAsia="zh-CN"/>
          <w14:textFill>
            <w14:solidFill>
              <w14:schemeClr w14:val="tx1"/>
            </w14:solidFill>
          </w14:textFill>
        </w:rPr>
        <w:t>八、</w:t>
      </w:r>
      <w:r>
        <w:rPr>
          <w:rFonts w:hint="eastAsia" w:ascii="黑体" w:hAnsi="宋体" w:eastAsia="黑体" w:cs="Times New Roman"/>
          <w:bCs/>
          <w:color w:val="000000" w:themeColor="text1"/>
          <w:sz w:val="24"/>
          <w:szCs w:val="24"/>
          <w:lang w:val="en-US" w:eastAsia="zh-Hans"/>
          <w14:textFill>
            <w14:solidFill>
              <w14:schemeClr w14:val="tx1"/>
            </w14:solidFill>
          </w14:textFill>
        </w:rPr>
        <w:t>招名流程</w:t>
      </w:r>
    </w:p>
    <w:p w14:paraId="279E9F8C">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eastAsia="仿宋_GB2312" w:cs="宋体"/>
          <w:bCs/>
          <w:kern w:val="2"/>
          <w:sz w:val="24"/>
          <w:szCs w:val="24"/>
          <w:lang w:val="en-US" w:eastAsia="zh-Hans" w:bidi="ar-SA"/>
        </w:rPr>
      </w:pPr>
      <w:r>
        <w:rPr>
          <w:rFonts w:hint="eastAsia" w:ascii="Times New Roman" w:hAnsi="Times New Roman" w:eastAsia="仿宋_GB2312" w:cs="宋体"/>
          <w:bCs/>
          <w:kern w:val="2"/>
          <w:sz w:val="24"/>
          <w:szCs w:val="24"/>
          <w:lang w:val="en-US" w:eastAsia="zh-Hans" w:bidi="ar-SA"/>
        </w:rPr>
        <w:t>1.填写报名表。</w:t>
      </w:r>
    </w:p>
    <w:p w14:paraId="6C558972">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eastAsia="仿宋_GB2312" w:cs="宋体"/>
          <w:bCs/>
          <w:kern w:val="2"/>
          <w:sz w:val="24"/>
          <w:szCs w:val="24"/>
          <w:lang w:val="en-US" w:eastAsia="zh-Hans" w:bidi="ar-SA"/>
        </w:rPr>
      </w:pPr>
      <w:r>
        <w:rPr>
          <w:rFonts w:hint="eastAsia" w:ascii="Times New Roman" w:hAnsi="Times New Roman" w:eastAsia="仿宋_GB2312" w:cs="宋体"/>
          <w:bCs/>
          <w:kern w:val="2"/>
          <w:sz w:val="24"/>
          <w:szCs w:val="24"/>
          <w:lang w:val="en-US" w:eastAsia="zh-Hans" w:bidi="ar-SA"/>
        </w:rPr>
        <w:t>2.提交最高学历</w:t>
      </w:r>
      <w:r>
        <w:rPr>
          <w:rFonts w:hint="eastAsia" w:ascii="Times New Roman" w:hAnsi="Times New Roman" w:eastAsia="仿宋_GB2312" w:cs="宋体"/>
          <w:bCs/>
          <w:kern w:val="2"/>
          <w:sz w:val="24"/>
          <w:szCs w:val="24"/>
          <w:lang w:val="en-US" w:eastAsia="zh-CN" w:bidi="ar-SA"/>
        </w:rPr>
        <w:t>、</w:t>
      </w:r>
      <w:r>
        <w:rPr>
          <w:rFonts w:hint="eastAsia" w:ascii="Times New Roman" w:hAnsi="Times New Roman" w:eastAsia="仿宋_GB2312" w:cs="宋体"/>
          <w:bCs/>
          <w:kern w:val="2"/>
          <w:sz w:val="24"/>
          <w:szCs w:val="24"/>
          <w:lang w:val="en-US" w:eastAsia="zh-Hans" w:bidi="ar-SA"/>
        </w:rPr>
        <w:t>学位证书、身份证电子版及复印件各一份。</w:t>
      </w:r>
    </w:p>
    <w:p w14:paraId="03A228D8">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eastAsia="仿宋_GB2312" w:cs="宋体"/>
          <w:bCs/>
          <w:kern w:val="2"/>
          <w:sz w:val="24"/>
          <w:szCs w:val="24"/>
          <w:lang w:val="en-US" w:eastAsia="zh-Hans" w:bidi="ar-SA"/>
        </w:rPr>
      </w:pPr>
      <w:r>
        <w:rPr>
          <w:rFonts w:hint="eastAsia" w:ascii="Times New Roman" w:hAnsi="Times New Roman" w:eastAsia="仿宋_GB2312" w:cs="宋体"/>
          <w:bCs/>
          <w:kern w:val="2"/>
          <w:sz w:val="24"/>
          <w:szCs w:val="24"/>
          <w:lang w:val="en-US" w:eastAsia="zh-Hans" w:bidi="ar-SA"/>
        </w:rPr>
        <w:t>3.交免冠蓝底近照10张</w:t>
      </w:r>
      <w:r>
        <w:rPr>
          <w:rFonts w:hint="eastAsia" w:ascii="Times New Roman" w:hAnsi="Times New Roman" w:eastAsia="仿宋_GB2312" w:cs="宋体"/>
          <w:bCs/>
          <w:kern w:val="2"/>
          <w:sz w:val="24"/>
          <w:szCs w:val="24"/>
          <w:lang w:val="en-US" w:eastAsia="zh-CN" w:bidi="ar-SA"/>
        </w:rPr>
        <w:t>（</w:t>
      </w:r>
      <w:r>
        <w:rPr>
          <w:rFonts w:hint="eastAsia" w:ascii="Times New Roman" w:hAnsi="Times New Roman" w:eastAsia="仿宋_GB2312" w:cs="宋体"/>
          <w:bCs/>
          <w:kern w:val="2"/>
          <w:sz w:val="24"/>
          <w:szCs w:val="24"/>
          <w:lang w:val="en-US" w:eastAsia="zh-Hans" w:bidi="ar-SA"/>
        </w:rPr>
        <w:t>其中6张一寸、4张二寸</w:t>
      </w:r>
      <w:r>
        <w:rPr>
          <w:rFonts w:hint="eastAsia" w:ascii="Times New Roman" w:hAnsi="Times New Roman" w:eastAsia="仿宋_GB2312" w:cs="宋体"/>
          <w:bCs/>
          <w:kern w:val="2"/>
          <w:sz w:val="24"/>
          <w:szCs w:val="24"/>
          <w:lang w:val="en-US" w:eastAsia="zh-CN" w:bidi="ar-SA"/>
        </w:rPr>
        <w:t>）</w:t>
      </w:r>
      <w:r>
        <w:rPr>
          <w:rFonts w:hint="eastAsia" w:ascii="Times New Roman" w:hAnsi="Times New Roman" w:eastAsia="仿宋_GB2312" w:cs="宋体"/>
          <w:bCs/>
          <w:kern w:val="2"/>
          <w:sz w:val="24"/>
          <w:szCs w:val="24"/>
          <w:lang w:val="en-US" w:eastAsia="zh-Hans" w:bidi="ar-SA"/>
        </w:rPr>
        <w:t>及一寸蓝底免冠照片的电子版。</w:t>
      </w:r>
    </w:p>
    <w:p w14:paraId="3582EED2">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eastAsia="仿宋_GB2312" w:cs="宋体"/>
          <w:bCs/>
          <w:kern w:val="2"/>
          <w:sz w:val="24"/>
          <w:szCs w:val="24"/>
          <w:lang w:val="en-US" w:eastAsia="zh-Hans" w:bidi="ar-SA"/>
        </w:rPr>
      </w:pPr>
      <w:r>
        <w:rPr>
          <w:rFonts w:hint="eastAsia" w:ascii="Times New Roman" w:hAnsi="Times New Roman" w:eastAsia="仿宋_GB2312" w:cs="宋体"/>
          <w:bCs/>
          <w:kern w:val="2"/>
          <w:sz w:val="24"/>
          <w:szCs w:val="24"/>
          <w:lang w:val="en-US" w:eastAsia="zh-Hans" w:bidi="ar-SA"/>
        </w:rPr>
        <w:t>4.告知书。</w:t>
      </w:r>
    </w:p>
    <w:p w14:paraId="2BCE5780">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eastAsia="仿宋_GB2312" w:cs="宋体"/>
          <w:bCs/>
          <w:kern w:val="2"/>
          <w:sz w:val="24"/>
          <w:szCs w:val="24"/>
          <w:lang w:val="en-US" w:eastAsia="zh-Hans" w:bidi="ar-SA"/>
        </w:rPr>
      </w:pPr>
      <w:r>
        <w:rPr>
          <w:rFonts w:hint="eastAsia" w:ascii="Times New Roman" w:hAnsi="Times New Roman" w:eastAsia="仿宋_GB2312" w:cs="宋体"/>
          <w:bCs/>
          <w:kern w:val="2"/>
          <w:sz w:val="24"/>
          <w:szCs w:val="24"/>
          <w:lang w:val="en-US" w:eastAsia="zh-Hans" w:bidi="ar-SA"/>
        </w:rPr>
        <w:t>5.经审核合格后，学员在规定时间内缴纳第一阶段费用</w:t>
      </w:r>
      <w:r>
        <w:rPr>
          <w:rFonts w:hint="eastAsia" w:ascii="Times New Roman" w:hAnsi="Times New Roman" w:eastAsia="仿宋_GB2312" w:cs="宋体"/>
          <w:bCs/>
          <w:kern w:val="2"/>
          <w:sz w:val="24"/>
          <w:szCs w:val="24"/>
          <w:lang w:val="en-US" w:eastAsia="zh-CN" w:bidi="ar-SA"/>
        </w:rPr>
        <w:t>并参加现场确认</w:t>
      </w:r>
      <w:r>
        <w:rPr>
          <w:rFonts w:hint="eastAsia" w:ascii="Times New Roman" w:hAnsi="Times New Roman" w:eastAsia="仿宋_GB2312" w:cs="宋体"/>
          <w:bCs/>
          <w:kern w:val="2"/>
          <w:sz w:val="24"/>
          <w:szCs w:val="24"/>
          <w:lang w:val="en-US" w:eastAsia="zh-Hans" w:bidi="ar-SA"/>
        </w:rPr>
        <w:t>。</w:t>
      </w:r>
    </w:p>
    <w:p w14:paraId="54F88173">
      <w:pPr>
        <w:keepNext w:val="0"/>
        <w:keepLines w:val="0"/>
        <w:pageBreakBefore w:val="0"/>
        <w:widowControl w:val="0"/>
        <w:kinsoku/>
        <w:wordWrap/>
        <w:overflowPunct/>
        <w:topLinePunct w:val="0"/>
        <w:autoSpaceDE/>
        <w:autoSpaceDN/>
        <w:bidi w:val="0"/>
        <w:adjustRightInd w:val="0"/>
        <w:snapToGrid w:val="0"/>
        <w:spacing w:before="79" w:beforeLines="25" w:after="79" w:afterLines="25" w:line="400" w:lineRule="atLeast"/>
        <w:textAlignment w:val="auto"/>
        <w:rPr>
          <w:rFonts w:hint="eastAsia" w:ascii="黑体" w:hAnsi="宋体" w:eastAsia="黑体" w:cs="Times New Roman"/>
          <w:bCs/>
          <w:color w:val="000000" w:themeColor="text1"/>
          <w:sz w:val="24"/>
          <w:szCs w:val="24"/>
          <w:lang w:val="en-US" w:eastAsia="zh-CN"/>
          <w14:textFill>
            <w14:solidFill>
              <w14:schemeClr w14:val="tx1"/>
            </w14:solidFill>
          </w14:textFill>
        </w:rPr>
      </w:pPr>
      <w:r>
        <w:rPr>
          <w:rFonts w:hint="eastAsia" w:ascii="黑体" w:hAnsi="宋体" w:eastAsia="黑体" w:cs="Times New Roman"/>
          <w:bCs/>
          <w:color w:val="000000" w:themeColor="text1"/>
          <w:sz w:val="24"/>
          <w:szCs w:val="24"/>
          <w:lang w:val="en-US" w:eastAsia="zh-CN"/>
          <w14:textFill>
            <w14:solidFill>
              <w14:schemeClr w14:val="tx1"/>
            </w14:solidFill>
          </w14:textFill>
        </w:rPr>
        <w:t>九、报名联系</w:t>
      </w:r>
    </w:p>
    <w:p w14:paraId="6C45ED0A">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eastAsia"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联系人：马老师19979111885  卢老师 0791-83816212</w:t>
      </w:r>
    </w:p>
    <w:p w14:paraId="240565E9">
      <w:pPr>
        <w:pageBreakBefore w:val="0"/>
        <w:kinsoku/>
        <w:wordWrap/>
        <w:overflowPunct/>
        <w:topLinePunct w:val="0"/>
        <w:autoSpaceDE/>
        <w:autoSpaceDN/>
        <w:bidi w:val="0"/>
        <w:adjustRightInd w:val="0"/>
        <w:snapToGrid w:val="0"/>
        <w:spacing w:before="79" w:beforeLines="25" w:after="79" w:afterLines="25" w:line="400" w:lineRule="atLeast"/>
        <w:ind w:firstLine="480" w:firstLineChars="200"/>
        <w:textAlignment w:val="auto"/>
        <w:rPr>
          <w:rFonts w:hint="default" w:ascii="Times New Roman" w:hAnsi="Times New Roman" w:eastAsia="仿宋_GB2312" w:cs="宋体"/>
          <w:bCs/>
          <w:kern w:val="2"/>
          <w:sz w:val="24"/>
          <w:szCs w:val="24"/>
          <w:lang w:val="en-US" w:eastAsia="zh-CN" w:bidi="ar-SA"/>
        </w:rPr>
      </w:pPr>
      <w:r>
        <w:rPr>
          <w:rFonts w:hint="eastAsia" w:ascii="Times New Roman" w:hAnsi="Times New Roman" w:eastAsia="仿宋_GB2312" w:cs="宋体"/>
          <w:bCs/>
          <w:kern w:val="2"/>
          <w:sz w:val="24"/>
          <w:szCs w:val="24"/>
          <w:lang w:val="en-US" w:eastAsia="zh-CN" w:bidi="ar-SA"/>
        </w:rPr>
        <w:t>邮  箱：1395411838@qq.com</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C763FA"/>
    <w:multiLevelType w:val="singleLevel"/>
    <w:tmpl w:val="CEC763F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1303C8"/>
    <w:rsid w:val="0B227267"/>
    <w:rsid w:val="15C251DC"/>
    <w:rsid w:val="1E711E00"/>
    <w:rsid w:val="26812549"/>
    <w:rsid w:val="2F2927F8"/>
    <w:rsid w:val="30FD3114"/>
    <w:rsid w:val="35922A65"/>
    <w:rsid w:val="46A240EA"/>
    <w:rsid w:val="4DA7365D"/>
    <w:rsid w:val="5B810C2C"/>
    <w:rsid w:val="5CAC586B"/>
    <w:rsid w:val="63DA3BD9"/>
    <w:rsid w:val="69D12535"/>
    <w:rsid w:val="6E93723B"/>
    <w:rsid w:val="77976D0C"/>
    <w:rsid w:val="794964C4"/>
    <w:rsid w:val="7C0432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3356</Words>
  <Characters>3418</Characters>
  <Lines>0</Lines>
  <Paragraphs>0</Paragraphs>
  <TotalTime>0</TotalTime>
  <ScaleCrop>false</ScaleCrop>
  <LinksUpToDate>false</LinksUpToDate>
  <CharactersWithSpaces>3418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2025-12-30T06:38:00Z</dcterms:created>
  <dc:creator>CP3</dc:creator>
  <cp:lastModifiedBy>人事尹老师</cp:lastModifiedBy>
  <dcterms:modified xsi:type="dcterms:W3CDTF">2026-01-07T06:48:22Z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eyJoZGlkIjoiYjM3NzQzZWVkNmFmNThmMDQyYWRhYjg2ZDJmNDhiYmEiLCJ1c2VySWQiOiIxMjk3NjkzNDEyIn0=</vt:lpwstr>
  </property>
  <property fmtid="{D5CDD505-2E9C-101B-9397-08002B2CF9AE}" pid="4" name="ICV">
    <vt:lpwstr>A0FEE64AE10B499992F834F3B10491DF_12</vt:lpwstr>
  </property>
</Properties>
</file>