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A11E9">
      <w:pPr>
        <w:keepNext w:val="0"/>
        <w:keepLines w:val="0"/>
        <w:pageBreakBefore w:val="0"/>
        <w:widowControl/>
        <w:kinsoku w:val="0"/>
        <w:wordWrap/>
        <w:overflowPunct/>
        <w:topLinePunct w:val="0"/>
        <w:autoSpaceDE w:val="0"/>
        <w:autoSpaceDN w:val="0"/>
        <w:bidi w:val="0"/>
        <w:adjustRightInd w:val="0"/>
        <w:snapToGrid w:val="0"/>
        <w:spacing w:line="288" w:lineRule="auto"/>
        <w:ind w:left="0"/>
        <w:jc w:val="center"/>
        <w:textAlignment w:val="baseline"/>
        <w:rPr>
          <w:rFonts w:hint="default" w:ascii="宋体" w:hAnsi="宋体" w:eastAsia="宋体" w:cs="宋体"/>
          <w:b/>
          <w:sz w:val="36"/>
          <w:szCs w:val="16"/>
          <w:lang w:val="en-US" w:eastAsia="zh-CN"/>
        </w:rPr>
      </w:pPr>
      <w:r>
        <w:rPr>
          <w:rFonts w:hint="eastAsia" w:ascii="宋体" w:hAnsi="宋体" w:eastAsia="宋体" w:cs="宋体"/>
          <w:b/>
          <w:sz w:val="36"/>
          <w:szCs w:val="16"/>
          <w:lang w:val="en-US" w:eastAsia="zh-CN"/>
        </w:rPr>
        <w:t>江西财经大学社会学同等学力申硕招生简章</w:t>
      </w:r>
    </w:p>
    <w:p w14:paraId="2F2636B5">
      <w:pPr>
        <w:keepNext w:val="0"/>
        <w:keepLines w:val="0"/>
        <w:pageBreakBefore w:val="0"/>
        <w:widowControl/>
        <w:kinsoku w:val="0"/>
        <w:wordWrap/>
        <w:overflowPunct/>
        <w:topLinePunct w:val="0"/>
        <w:autoSpaceDE w:val="0"/>
        <w:autoSpaceDN w:val="0"/>
        <w:bidi w:val="0"/>
        <w:adjustRightInd w:val="0"/>
        <w:snapToGrid w:val="0"/>
        <w:spacing w:line="288" w:lineRule="auto"/>
        <w:ind w:left="0"/>
        <w:jc w:val="both"/>
        <w:textAlignment w:val="baseline"/>
        <w:rPr>
          <w:rFonts w:hint="eastAsia" w:ascii="宋体" w:hAnsi="宋体" w:eastAsia="宋体" w:cs="宋体"/>
          <w:b/>
          <w:sz w:val="28"/>
          <w:szCs w:val="13"/>
        </w:rPr>
      </w:pPr>
    </w:p>
    <w:p w14:paraId="11F6785F">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一、院校简介</w:t>
      </w:r>
    </w:p>
    <w:p w14:paraId="2266CE53">
      <w:pPr>
        <w:keepNext w:val="0"/>
        <w:keepLines w:val="0"/>
        <w:pageBreakBefore w:val="0"/>
        <w:widowControl/>
        <w:kinsoku w:val="0"/>
        <w:wordWrap/>
        <w:overflowPunct/>
        <w:topLinePunct w:val="0"/>
        <w:autoSpaceDE w:val="0"/>
        <w:autoSpaceDN w:val="0"/>
        <w:bidi w:val="0"/>
        <w:adjustRightInd w:val="0"/>
        <w:snapToGrid w:val="0"/>
        <w:spacing w:line="288" w:lineRule="auto"/>
        <w:ind w:left="0" w:firstLine="480" w:firstLineChars="200"/>
        <w:jc w:val="both"/>
        <w:textAlignment w:val="baseline"/>
        <w:rPr>
          <w:rFonts w:hint="eastAsia" w:ascii="宋体" w:hAnsi="宋体" w:eastAsia="宋体" w:cs="宋体"/>
          <w:b/>
          <w:sz w:val="28"/>
          <w:szCs w:val="13"/>
        </w:rPr>
      </w:pPr>
      <w:r>
        <w:rPr>
          <w:rFonts w:hint="eastAsia" w:ascii="Times New Roman" w:hAnsi="Times New Roman" w:eastAsia="仿宋_GB2312"/>
          <w:bCs/>
          <w:sz w:val="24"/>
          <w:szCs w:val="24"/>
          <w:lang w:val="en-US" w:eastAsia="zh-CN"/>
        </w:rPr>
        <w:t>江西财经大学是一所财政部、教育部、江西省人民政府共建，以经济、管理类学科为主，法、工、文、理、艺术等学科协调发展的高等财经学府。公开资料显示，学校位居中国CFO大学排行榜第5名，中国财经类大学排行榜第7名，国家一流本科专业精度排行榜第15名，中国造富大学排行榜第16名，中国高管校友大学排行榜第30名，中国大学校友捐赠排行榜第47名，中国高校毕业生薪酬指数排行榜第71名。</w:t>
      </w:r>
    </w:p>
    <w:p w14:paraId="4F5C3A30">
      <w:pPr>
        <w:keepNext w:val="0"/>
        <w:keepLines w:val="0"/>
        <w:pageBreakBefore w:val="0"/>
        <w:widowControl/>
        <w:kinsoku w:val="0"/>
        <w:wordWrap/>
        <w:overflowPunct/>
        <w:topLinePunct w:val="0"/>
        <w:autoSpaceDE w:val="0"/>
        <w:autoSpaceDN w:val="0"/>
        <w:bidi w:val="0"/>
        <w:adjustRightInd w:val="0"/>
        <w:snapToGrid w:val="0"/>
        <w:spacing w:line="288" w:lineRule="auto"/>
        <w:ind w:left="0" w:firstLine="480" w:firstLineChars="200"/>
        <w:jc w:val="both"/>
        <w:textAlignment w:val="baseline"/>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江西财经大学社会与人文学院，原名为人文学院，成立于2002年，前身可追溯到1994年成立的基础课部。2009年</w:t>
      </w:r>
      <w:bookmarkStart w:id="0" w:name="_GoBack"/>
      <w:bookmarkEnd w:id="0"/>
      <w:r>
        <w:rPr>
          <w:rFonts w:hint="eastAsia" w:ascii="Times New Roman" w:hAnsi="Times New Roman" w:eastAsia="仿宋_GB2312"/>
          <w:bCs/>
          <w:sz w:val="24"/>
          <w:szCs w:val="24"/>
          <w:lang w:val="en-US" w:eastAsia="zh-CN"/>
        </w:rPr>
        <w:t>，学校院系调整，原人文学院与原艺术与传播学院的部分院系合并组建了新人文学院。2024年，学院更名为社会与人文学院。学院现有师生员工1100余人，设有社会学系、社会工作系、新闻传播系和中文系四个教学系。同时，设有江西省高校人文社科重点研究基地绿色发展与中国式现代化研究中心。学院还设有学校与江西省委社会工作部共建的社会工作政策理论研究基地、与民政厅共建的江西省老龄事业发展研究院以及社会工作与社会政策研究中心、江西省文化产业研究中心、亚太经济与社会发展研究中心、江西省道教文化研究中心、江西社科文献研究中心、江西财经大学新媒体研究中心、江西财经大学人口与发展研究中心、县域调查与经济社会学研究中心等研究机构。现任院长蒋国河，党委书记陈华。</w:t>
      </w:r>
    </w:p>
    <w:p w14:paraId="640DC944">
      <w:pPr>
        <w:keepNext w:val="0"/>
        <w:keepLines w:val="0"/>
        <w:pageBreakBefore w:val="0"/>
        <w:widowControl/>
        <w:kinsoku w:val="0"/>
        <w:wordWrap/>
        <w:overflowPunct/>
        <w:topLinePunct w:val="0"/>
        <w:autoSpaceDE w:val="0"/>
        <w:autoSpaceDN w:val="0"/>
        <w:bidi w:val="0"/>
        <w:adjustRightInd w:val="0"/>
        <w:snapToGrid w:val="0"/>
        <w:spacing w:line="288" w:lineRule="auto"/>
        <w:ind w:left="0" w:firstLine="480" w:firstLineChars="200"/>
        <w:jc w:val="both"/>
        <w:textAlignment w:val="baseline"/>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学院学科实力不断增强。2024年，学院获批社会学一级学科博士点。学院还拥有社会学、新闻传播学一级学科硕士点社会工作专业硕士（MSW）、新闻与传播专业硕士（MJC）与国际中文教育专业硕士（MTCSOL）授权点，其中社会工作专业为全国首批33家办学单位之一。</w:t>
      </w:r>
    </w:p>
    <w:p w14:paraId="6EB63CC0">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二、培养目标</w:t>
      </w:r>
    </w:p>
    <w:p w14:paraId="5828F6DB">
      <w:pPr>
        <w:keepNext w:val="0"/>
        <w:keepLines w:val="0"/>
        <w:pageBreakBefore w:val="0"/>
        <w:widowControl/>
        <w:kinsoku w:val="0"/>
        <w:wordWrap/>
        <w:overflowPunct/>
        <w:topLinePunct w:val="0"/>
        <w:autoSpaceDE w:val="0"/>
        <w:autoSpaceDN w:val="0"/>
        <w:bidi w:val="0"/>
        <w:adjustRightInd w:val="0"/>
        <w:snapToGrid w:val="0"/>
        <w:spacing w:line="288" w:lineRule="auto"/>
        <w:ind w:left="0" w:firstLine="480" w:firstLineChars="200"/>
        <w:jc w:val="both"/>
        <w:textAlignment w:val="baseline"/>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适应国家经济社会发展需要，依托财经类高校学科优势，培养具有“信敏廉毅”素质和“以人为本、助人自助、公平公正”的专业价值观，掌握系统的社会工作理论和实务，熟悉我国社会政策，具有较强的社会服务策划、执行、督导、评估和研究能力，能够针对不同人群及领域的开展专业临床社会工作服务，并能承担社会行政管理、具有良好的社会工作职业素养和较强创新创业能力的应用型高级社会工作专业人才。</w:t>
      </w:r>
    </w:p>
    <w:p w14:paraId="3906696A">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三、研究方向</w:t>
      </w:r>
    </w:p>
    <w:p w14:paraId="157EB857">
      <w:pPr>
        <w:keepNext w:val="0"/>
        <w:keepLines w:val="0"/>
        <w:pageBreakBefore w:val="0"/>
        <w:widowControl/>
        <w:numPr>
          <w:ilvl w:val="0"/>
          <w:numId w:val="1"/>
        </w:numPr>
        <w:kinsoku w:val="0"/>
        <w:wordWrap/>
        <w:overflowPunct/>
        <w:topLinePunct w:val="0"/>
        <w:autoSpaceDE w:val="0"/>
        <w:autoSpaceDN w:val="0"/>
        <w:bidi w:val="0"/>
        <w:adjustRightInd w:val="0"/>
        <w:snapToGrid w:val="0"/>
        <w:spacing w:line="288" w:lineRule="auto"/>
        <w:ind w:left="845" w:leftChars="0" w:hanging="425" w:firstLineChars="0"/>
        <w:jc w:val="both"/>
        <w:textAlignment w:val="baseline"/>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社会工作</w:t>
      </w:r>
    </w:p>
    <w:p w14:paraId="73071468">
      <w:pPr>
        <w:keepNext w:val="0"/>
        <w:keepLines w:val="0"/>
        <w:pageBreakBefore w:val="0"/>
        <w:widowControl/>
        <w:numPr>
          <w:ilvl w:val="0"/>
          <w:numId w:val="1"/>
        </w:numPr>
        <w:kinsoku w:val="0"/>
        <w:wordWrap/>
        <w:overflowPunct/>
        <w:topLinePunct w:val="0"/>
        <w:autoSpaceDE w:val="0"/>
        <w:autoSpaceDN w:val="0"/>
        <w:bidi w:val="0"/>
        <w:adjustRightInd w:val="0"/>
        <w:snapToGrid w:val="0"/>
        <w:spacing w:line="288" w:lineRule="auto"/>
        <w:ind w:left="845" w:leftChars="0" w:hanging="425" w:firstLineChars="0"/>
        <w:jc w:val="both"/>
        <w:textAlignment w:val="baseline"/>
        <w:rPr>
          <w:rFonts w:hint="default"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社会治理</w:t>
      </w:r>
    </w:p>
    <w:p w14:paraId="6626DB52">
      <w:pPr>
        <w:numPr>
          <w:ilvl w:val="0"/>
          <w:numId w:val="0"/>
        </w:numPr>
        <w:spacing w:line="360" w:lineRule="exact"/>
        <w:rPr>
          <w:rFonts w:ascii="Times New Roman" w:hAnsi="Times New Roman" w:eastAsia="黑体"/>
          <w:bCs/>
          <w:sz w:val="24"/>
          <w:szCs w:val="24"/>
        </w:rPr>
      </w:pPr>
      <w:r>
        <w:rPr>
          <w:rFonts w:hint="eastAsia" w:ascii="Times New Roman" w:hAnsi="Times New Roman" w:eastAsia="黑体"/>
          <w:bCs/>
          <w:sz w:val="24"/>
          <w:szCs w:val="24"/>
          <w:lang w:val="en-US" w:eastAsia="zh-CN"/>
        </w:rPr>
        <w:t>四、</w:t>
      </w:r>
      <w:r>
        <w:rPr>
          <w:rFonts w:ascii="Times New Roman" w:hAnsi="Times New Roman" w:eastAsia="黑体"/>
          <w:bCs/>
          <w:sz w:val="24"/>
          <w:szCs w:val="24"/>
        </w:rPr>
        <w:t>培养方式</w:t>
      </w:r>
    </w:p>
    <w:p w14:paraId="498E79A1">
      <w:pPr>
        <w:pStyle w:val="6"/>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同等学力人员申请硕士学位分为三个阶段: 第一阶段为课程学习培养阶段（简称第一阶段），第二阶段为取得全国统一考试阶段(简称第二阶段)，第三阶段为撰写学位论文及答辩阶段(简称第三阶段)。</w:t>
      </w:r>
    </w:p>
    <w:p w14:paraId="0DA41444">
      <w:pPr>
        <w:pStyle w:val="6"/>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申请人自通过资格审查之日起，按学校教学进度安排，修完第一阶段的江西财经大学同等学力规定的全部课程，按要求参加课程考试，课程学习期一般为1年，采取周末网络远程/自学相结合的方式，完成学习并通过课程考试，成绩合格，颁发《江西财经大学结业证书》。</w:t>
      </w:r>
    </w:p>
    <w:p w14:paraId="122872B1">
      <w:pPr>
        <w:pStyle w:val="6"/>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获得学士学位满三年，可申请第二阶段的全国统考硕士学位外国语水平和学科综合水平考试。统考每年举行一次，3月初报名，5月下旬考试。四年内未全部通过课程和全国统一考试者，所修课程学分无效。</w:t>
      </w:r>
    </w:p>
    <w:p w14:paraId="05CE2114">
      <w:pPr>
        <w:pStyle w:val="6"/>
        <w:adjustRightInd w:val="0"/>
        <w:spacing w:line="360" w:lineRule="exact"/>
        <w:ind w:firstLine="480"/>
        <w:rPr>
          <w:rFonts w:hint="eastAsia" w:ascii="Times New Roman" w:hAnsi="Times New Roman" w:eastAsia="黑体"/>
          <w:bCs/>
          <w:sz w:val="24"/>
          <w:szCs w:val="24"/>
          <w:lang w:val="en-US" w:eastAsia="zh-CN"/>
        </w:rPr>
      </w:pPr>
      <w:r>
        <w:rPr>
          <w:rFonts w:hint="eastAsia" w:ascii="Times New Roman" w:hAnsi="Times New Roman" w:eastAsia="仿宋_GB2312" w:cs="宋体"/>
          <w:bCs/>
          <w:kern w:val="2"/>
          <w:sz w:val="24"/>
          <w:szCs w:val="24"/>
          <w:lang w:val="en-US" w:eastAsia="zh-CN" w:bidi="ar-SA"/>
        </w:rPr>
        <w:t>申请人完成本项目研修课程学习，并通过外国语水平全国统考和学科综合水平全国统考后，进入申请硕士学位阶段。第三阶段须在通过全部课程考试(含两门全国统考科目)后的一年内提交学位论文，论文答辩在申请人提交论文后的半年内进行。</w:t>
      </w:r>
    </w:p>
    <w:p w14:paraId="3183F4F0">
      <w:pPr>
        <w:spacing w:line="360" w:lineRule="exact"/>
        <w:ind w:firstLine="480" w:firstLineChars="200"/>
        <w:rPr>
          <w:rFonts w:ascii="Times New Roman" w:hAnsi="Times New Roman" w:eastAsia="黑体"/>
          <w:bCs/>
          <w:sz w:val="24"/>
          <w:szCs w:val="24"/>
        </w:rPr>
      </w:pPr>
      <w:r>
        <w:rPr>
          <w:rFonts w:hint="eastAsia" w:ascii="Times New Roman" w:hAnsi="Times New Roman" w:eastAsia="黑体"/>
          <w:bCs/>
          <w:sz w:val="24"/>
          <w:szCs w:val="24"/>
          <w:lang w:val="en-US" w:eastAsia="zh-CN"/>
        </w:rPr>
        <w:t>五</w:t>
      </w:r>
      <w:r>
        <w:rPr>
          <w:rFonts w:ascii="Times New Roman" w:hAnsi="Times New Roman" w:eastAsia="黑体"/>
          <w:bCs/>
          <w:sz w:val="24"/>
          <w:szCs w:val="24"/>
        </w:rPr>
        <w:t>、标准学制和学习年限</w:t>
      </w:r>
    </w:p>
    <w:p w14:paraId="7F40F8AE">
      <w:pPr>
        <w:pStyle w:val="5"/>
        <w:spacing w:line="360" w:lineRule="exact"/>
        <w:ind w:firstLine="480"/>
        <w:rPr>
          <w:rFonts w:hint="eastAsia" w:ascii="Times New Roman" w:hAnsi="Times New Roman" w:eastAsia="仿宋_GB2312"/>
          <w:bCs/>
          <w:sz w:val="24"/>
          <w:szCs w:val="24"/>
        </w:rPr>
      </w:pPr>
      <w:r>
        <w:rPr>
          <w:rFonts w:hint="eastAsia" w:ascii="仿宋" w:hAnsi="仿宋" w:eastAsia="仿宋"/>
          <w:sz w:val="24"/>
          <w:szCs w:val="24"/>
        </w:rPr>
        <w:t>本专业学位</w:t>
      </w:r>
      <w:r>
        <w:rPr>
          <w:rFonts w:hint="eastAsia" w:ascii="Times New Roman" w:hAnsi="Times New Roman" w:eastAsia="仿宋_GB2312"/>
          <w:bCs/>
          <w:sz w:val="24"/>
          <w:szCs w:val="24"/>
        </w:rPr>
        <w:t>研究生学制为</w:t>
      </w:r>
      <w:r>
        <w:rPr>
          <w:rFonts w:hint="eastAsia" w:ascii="Times New Roman" w:hAnsi="Times New Roman" w:eastAsia="仿宋_GB2312"/>
          <w:bCs/>
          <w:sz w:val="24"/>
          <w:szCs w:val="24"/>
          <w:highlight w:val="none"/>
          <w:lang w:val="en-US" w:eastAsia="zh-CN"/>
        </w:rPr>
        <w:t>2.5</w:t>
      </w:r>
      <w:r>
        <w:rPr>
          <w:rFonts w:hint="eastAsia" w:ascii="Times New Roman" w:hAnsi="Times New Roman" w:eastAsia="仿宋_GB2312"/>
          <w:bCs/>
          <w:sz w:val="24"/>
          <w:szCs w:val="24"/>
          <w:highlight w:val="none"/>
        </w:rPr>
        <w:t>年</w:t>
      </w:r>
      <w:r>
        <w:rPr>
          <w:rFonts w:hint="eastAsia" w:ascii="Times New Roman" w:hAnsi="Times New Roman" w:eastAsia="仿宋_GB2312"/>
          <w:bCs/>
          <w:sz w:val="24"/>
          <w:szCs w:val="24"/>
        </w:rPr>
        <w:t>，最长不超过5年。包括课程学习</w:t>
      </w:r>
      <w:r>
        <w:rPr>
          <w:rFonts w:hint="eastAsia" w:ascii="Times New Roman" w:hAnsi="Times New Roman" w:eastAsia="仿宋_GB2312"/>
          <w:bCs/>
          <w:sz w:val="24"/>
          <w:szCs w:val="24"/>
          <w:lang w:eastAsia="zh-CN"/>
        </w:rPr>
        <w:t>、</w:t>
      </w:r>
      <w:r>
        <w:rPr>
          <w:rFonts w:hint="eastAsia" w:ascii="Times New Roman" w:hAnsi="Times New Roman" w:eastAsia="仿宋_GB2312"/>
          <w:bCs/>
          <w:sz w:val="24"/>
          <w:szCs w:val="24"/>
          <w:lang w:val="en-US" w:eastAsia="zh-CN"/>
        </w:rPr>
        <w:t>申硕考试</w:t>
      </w:r>
      <w:r>
        <w:rPr>
          <w:rFonts w:hint="eastAsia" w:ascii="Times New Roman" w:hAnsi="Times New Roman" w:eastAsia="仿宋_GB2312"/>
          <w:bCs/>
          <w:sz w:val="24"/>
          <w:szCs w:val="24"/>
        </w:rPr>
        <w:t>和学位论文</w:t>
      </w:r>
      <w:r>
        <w:rPr>
          <w:rFonts w:hint="eastAsia" w:ascii="Times New Roman" w:hAnsi="Times New Roman" w:eastAsia="仿宋_GB2312"/>
          <w:bCs/>
          <w:sz w:val="24"/>
          <w:szCs w:val="24"/>
          <w:lang w:val="en-US" w:eastAsia="zh-CN"/>
        </w:rPr>
        <w:t>三</w:t>
      </w:r>
      <w:r>
        <w:rPr>
          <w:rFonts w:hint="eastAsia" w:ascii="Times New Roman" w:hAnsi="Times New Roman" w:eastAsia="仿宋_GB2312"/>
          <w:bCs/>
          <w:sz w:val="24"/>
          <w:szCs w:val="24"/>
        </w:rPr>
        <w:t>个培养环节，课程由公共课程</w:t>
      </w:r>
      <w:r>
        <w:rPr>
          <w:rFonts w:hint="eastAsia" w:ascii="Times New Roman" w:hAnsi="Times New Roman" w:eastAsia="仿宋_GB2312"/>
          <w:bCs/>
          <w:sz w:val="24"/>
          <w:szCs w:val="24"/>
          <w:lang w:val="en-US" w:eastAsia="zh-CN"/>
        </w:rPr>
        <w:t>和</w:t>
      </w:r>
      <w:r>
        <w:rPr>
          <w:rFonts w:hint="eastAsia" w:ascii="Times New Roman" w:hAnsi="Times New Roman" w:eastAsia="仿宋_GB2312"/>
          <w:bCs/>
          <w:sz w:val="24"/>
          <w:szCs w:val="24"/>
        </w:rPr>
        <w:t>专业课程组成。</w:t>
      </w:r>
    </w:p>
    <w:p w14:paraId="254F7A36">
      <w:pPr>
        <w:spacing w:line="360" w:lineRule="exact"/>
        <w:ind w:firstLine="480" w:firstLineChars="200"/>
        <w:rPr>
          <w:rFonts w:ascii="Times New Roman" w:hAnsi="Times New Roman" w:eastAsia="黑体"/>
          <w:bCs/>
          <w:sz w:val="24"/>
          <w:szCs w:val="24"/>
        </w:rPr>
      </w:pPr>
      <w:r>
        <w:rPr>
          <w:rFonts w:hint="eastAsia" w:ascii="Times New Roman" w:hAnsi="Times New Roman" w:eastAsia="黑体"/>
          <w:bCs/>
          <w:sz w:val="24"/>
          <w:szCs w:val="24"/>
          <w:lang w:val="en-US" w:eastAsia="zh-CN"/>
        </w:rPr>
        <w:t>六</w:t>
      </w:r>
      <w:r>
        <w:rPr>
          <w:rFonts w:ascii="Times New Roman" w:hAnsi="Times New Roman" w:eastAsia="黑体"/>
          <w:bCs/>
          <w:sz w:val="24"/>
          <w:szCs w:val="24"/>
        </w:rPr>
        <w:t>、学分要求</w:t>
      </w:r>
    </w:p>
    <w:p w14:paraId="22D1975D">
      <w:pPr>
        <w:pStyle w:val="5"/>
        <w:spacing w:line="360" w:lineRule="exact"/>
        <w:ind w:firstLine="480"/>
        <w:rPr>
          <w:rFonts w:hint="eastAsia" w:ascii="宋体" w:hAnsi="宋体" w:eastAsia="宋体" w:cs="宋体"/>
          <w:b/>
          <w:sz w:val="28"/>
          <w:szCs w:val="13"/>
        </w:rPr>
      </w:pPr>
      <w:r>
        <w:rPr>
          <w:rFonts w:hint="eastAsia" w:ascii="仿宋" w:hAnsi="仿宋" w:eastAsia="仿宋"/>
          <w:sz w:val="24"/>
          <w:szCs w:val="24"/>
        </w:rPr>
        <w:t>本专业硕士课程总学分不少</w:t>
      </w:r>
      <w:r>
        <w:rPr>
          <w:rFonts w:hint="eastAsia" w:ascii="仿宋" w:hAnsi="仿宋" w:eastAsia="仿宋"/>
          <w:sz w:val="24"/>
          <w:szCs w:val="24"/>
          <w:lang w:val="en-US" w:eastAsia="zh-CN"/>
        </w:rPr>
        <w:t>22</w:t>
      </w:r>
      <w:r>
        <w:rPr>
          <w:rFonts w:hint="eastAsia" w:ascii="仿宋" w:hAnsi="仿宋" w:eastAsia="仿宋"/>
          <w:sz w:val="24"/>
          <w:szCs w:val="24"/>
        </w:rPr>
        <w:t>学分，其中</w:t>
      </w:r>
      <w:r>
        <w:rPr>
          <w:rFonts w:hint="eastAsia" w:ascii="仿宋" w:hAnsi="仿宋" w:eastAsia="仿宋"/>
          <w:sz w:val="24"/>
          <w:szCs w:val="24"/>
          <w:lang w:eastAsia="zh-CN"/>
        </w:rPr>
        <w:t>：</w:t>
      </w:r>
      <w:r>
        <w:rPr>
          <w:rFonts w:hint="eastAsia" w:ascii="仿宋" w:hAnsi="仿宋" w:eastAsia="仿宋"/>
          <w:sz w:val="24"/>
          <w:szCs w:val="24"/>
          <w:lang w:val="en-US" w:eastAsia="zh-CN"/>
        </w:rPr>
        <w:t>公共必修课6学分、</w:t>
      </w:r>
      <w:r>
        <w:rPr>
          <w:rFonts w:hint="eastAsia" w:ascii="宋体" w:hAnsi="宋体" w:eastAsia="宋体" w:cs="宋体"/>
          <w:b w:val="0"/>
          <w:color w:val="000000"/>
          <w:sz w:val="22"/>
        </w:rPr>
        <w:t>基础理论</w:t>
      </w:r>
      <w:r>
        <w:rPr>
          <w:rFonts w:hint="eastAsia" w:ascii="宋体" w:hAnsi="宋体" w:eastAsia="宋体" w:cs="宋体"/>
          <w:b w:val="0"/>
          <w:color w:val="000000"/>
          <w:sz w:val="22"/>
          <w:lang w:val="en-US" w:eastAsia="zh-CN"/>
        </w:rPr>
        <w:t>与方法</w:t>
      </w:r>
      <w:r>
        <w:rPr>
          <w:rFonts w:hint="eastAsia" w:ascii="宋体" w:hAnsi="宋体" w:eastAsia="宋体" w:cs="宋体"/>
          <w:b w:val="0"/>
          <w:color w:val="000000"/>
          <w:sz w:val="22"/>
        </w:rPr>
        <w:t>模块</w:t>
      </w:r>
      <w:r>
        <w:rPr>
          <w:rFonts w:hint="eastAsia" w:ascii="宋体" w:hAnsi="宋体" w:eastAsia="宋体" w:cs="宋体"/>
          <w:b w:val="0"/>
          <w:color w:val="000000"/>
          <w:sz w:val="22"/>
          <w:lang w:val="en-US" w:eastAsia="zh-CN"/>
        </w:rPr>
        <w:t>6学分</w:t>
      </w:r>
      <w:r>
        <w:rPr>
          <w:rFonts w:hint="eastAsia" w:ascii="仿宋" w:hAnsi="仿宋" w:eastAsia="仿宋"/>
          <w:sz w:val="24"/>
          <w:szCs w:val="24"/>
        </w:rPr>
        <w:t>、专业必修课程</w:t>
      </w:r>
      <w:r>
        <w:rPr>
          <w:rFonts w:hint="eastAsia" w:ascii="仿宋" w:hAnsi="仿宋" w:eastAsia="仿宋"/>
          <w:sz w:val="24"/>
          <w:szCs w:val="24"/>
          <w:lang w:val="en-US" w:eastAsia="zh-CN"/>
        </w:rPr>
        <w:t>6</w:t>
      </w:r>
      <w:r>
        <w:rPr>
          <w:rFonts w:hint="eastAsia" w:ascii="仿宋" w:hAnsi="仿宋" w:eastAsia="仿宋"/>
          <w:sz w:val="24"/>
          <w:szCs w:val="24"/>
        </w:rPr>
        <w:t>学分，专业选修课程</w:t>
      </w:r>
      <w:r>
        <w:rPr>
          <w:rFonts w:hint="eastAsia" w:ascii="仿宋" w:hAnsi="仿宋" w:eastAsia="仿宋"/>
          <w:sz w:val="24"/>
          <w:szCs w:val="24"/>
          <w:lang w:val="en-US" w:eastAsia="zh-CN"/>
        </w:rPr>
        <w:t>4</w:t>
      </w:r>
      <w:r>
        <w:rPr>
          <w:rFonts w:hint="eastAsia" w:ascii="仿宋" w:hAnsi="仿宋" w:eastAsia="仿宋"/>
          <w:sz w:val="24"/>
          <w:szCs w:val="24"/>
        </w:rPr>
        <w:t>学分</w:t>
      </w:r>
      <w:r>
        <w:rPr>
          <w:rFonts w:hint="eastAsia" w:ascii="仿宋" w:hAnsi="仿宋" w:eastAsia="仿宋"/>
          <w:sz w:val="24"/>
          <w:szCs w:val="24"/>
          <w:lang w:eastAsia="zh-CN"/>
        </w:rPr>
        <w:t>。</w:t>
      </w:r>
    </w:p>
    <w:p w14:paraId="48D68CB2">
      <w:pPr>
        <w:keepNext w:val="0"/>
        <w:keepLines w:val="0"/>
        <w:pageBreakBefore w:val="0"/>
        <w:widowControl/>
        <w:kinsoku w:val="0"/>
        <w:wordWrap/>
        <w:overflowPunct/>
        <w:topLinePunct w:val="0"/>
        <w:autoSpaceDE w:val="0"/>
        <w:autoSpaceDN w:val="0"/>
        <w:bidi w:val="0"/>
        <w:adjustRightInd w:val="0"/>
        <w:snapToGrid w:val="0"/>
        <w:spacing w:line="288" w:lineRule="auto"/>
        <w:ind w:left="0"/>
        <w:jc w:val="center"/>
        <w:textAlignment w:val="baseline"/>
        <w:rPr>
          <w:rFonts w:hint="eastAsia" w:ascii="宋体" w:hAnsi="宋体" w:eastAsia="宋体" w:cs="宋体"/>
          <w:b/>
          <w:sz w:val="28"/>
          <w:szCs w:val="13"/>
        </w:rPr>
      </w:pPr>
    </w:p>
    <w:p w14:paraId="0F8FA6E1">
      <w:pPr>
        <w:keepNext w:val="0"/>
        <w:keepLines w:val="0"/>
        <w:pageBreakBefore w:val="0"/>
        <w:widowControl/>
        <w:kinsoku w:val="0"/>
        <w:wordWrap/>
        <w:overflowPunct/>
        <w:topLinePunct w:val="0"/>
        <w:autoSpaceDE w:val="0"/>
        <w:autoSpaceDN w:val="0"/>
        <w:bidi w:val="0"/>
        <w:adjustRightInd w:val="0"/>
        <w:snapToGrid w:val="0"/>
        <w:spacing w:line="288" w:lineRule="auto"/>
        <w:ind w:left="0"/>
        <w:jc w:val="center"/>
        <w:textAlignment w:val="baseline"/>
        <w:rPr>
          <w:rFonts w:hint="eastAsia" w:ascii="仿宋" w:hAnsi="仿宋" w:eastAsia="仿宋" w:cstheme="minorBidi"/>
          <w:b/>
          <w:bCs/>
          <w:sz w:val="24"/>
          <w:szCs w:val="24"/>
        </w:rPr>
      </w:pPr>
      <w:r>
        <w:rPr>
          <w:rFonts w:hint="eastAsia" w:ascii="仿宋" w:hAnsi="仿宋" w:eastAsia="仿宋" w:cstheme="minorBidi"/>
          <w:b/>
          <w:bCs/>
          <w:sz w:val="24"/>
          <w:szCs w:val="24"/>
        </w:rPr>
        <w:t>社会学（社</w:t>
      </w:r>
      <w:r>
        <w:rPr>
          <w:rFonts w:hint="eastAsia" w:ascii="仿宋" w:hAnsi="仿宋" w:eastAsia="仿宋" w:cstheme="minorBidi"/>
          <w:b/>
          <w:bCs/>
          <w:sz w:val="24"/>
          <w:szCs w:val="24"/>
          <w:lang w:val="en-US" w:eastAsia="zh-CN"/>
        </w:rPr>
        <w:t>会工作、基层治理</w:t>
      </w:r>
      <w:r>
        <w:rPr>
          <w:rFonts w:hint="eastAsia" w:ascii="仿宋" w:hAnsi="仿宋" w:eastAsia="仿宋" w:cstheme="minorBidi"/>
          <w:b/>
          <w:bCs/>
          <w:sz w:val="24"/>
          <w:szCs w:val="24"/>
        </w:rPr>
        <w:t>方向）同等学力课程清单</w:t>
      </w:r>
    </w:p>
    <w:tbl>
      <w:tblPr>
        <w:tblStyle w:val="3"/>
        <w:tblW w:w="5240" w:type="pct"/>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autofit"/>
        <w:tblCellMar>
          <w:top w:w="0" w:type="dxa"/>
          <w:left w:w="10" w:type="dxa"/>
          <w:bottom w:w="0" w:type="dxa"/>
          <w:right w:w="10" w:type="dxa"/>
        </w:tblCellMar>
      </w:tblPr>
      <w:tblGrid>
        <w:gridCol w:w="848"/>
        <w:gridCol w:w="2747"/>
        <w:gridCol w:w="3663"/>
        <w:gridCol w:w="848"/>
        <w:gridCol w:w="849"/>
      </w:tblGrid>
      <w:tr w14:paraId="3583026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l2br w:val="nil"/>
            </w:tcBorders>
            <w:shd w:val="clear" w:color="auto" w:fill="FFFFFF"/>
            <w:tcMar>
              <w:top w:w="60" w:type="dxa"/>
              <w:left w:w="120" w:type="dxa"/>
              <w:bottom w:w="30" w:type="dxa"/>
              <w:right w:w="120" w:type="dxa"/>
            </w:tcMar>
          </w:tcPr>
          <w:p w14:paraId="6785819A">
            <w:pPr>
              <w:spacing w:before="120" w:after="120" w:line="288" w:lineRule="auto"/>
              <w:ind w:left="0"/>
              <w:jc w:val="center"/>
              <w:rPr>
                <w:rFonts w:hint="eastAsia" w:ascii="仿宋" w:hAnsi="仿宋" w:eastAsia="仿宋" w:cs="仿宋"/>
                <w:b/>
                <w:bCs/>
                <w:color w:val="000000"/>
                <w:sz w:val="20"/>
                <w:szCs w:val="21"/>
              </w:rPr>
            </w:pPr>
            <w:r>
              <w:rPr>
                <w:rFonts w:hint="eastAsia" w:ascii="仿宋" w:hAnsi="仿宋" w:eastAsia="仿宋" w:cs="仿宋"/>
                <w:b/>
                <w:bCs/>
                <w:color w:val="000000"/>
                <w:sz w:val="21"/>
                <w:szCs w:val="21"/>
              </w:rPr>
              <w:t>序号</w:t>
            </w:r>
          </w:p>
        </w:tc>
        <w:tc>
          <w:tcPr>
            <w:tcW w:w="153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071F40AA">
            <w:pPr>
              <w:spacing w:before="120" w:after="120" w:line="288" w:lineRule="auto"/>
              <w:ind w:left="0"/>
              <w:jc w:val="center"/>
              <w:rPr>
                <w:rFonts w:hint="eastAsia" w:ascii="仿宋" w:hAnsi="仿宋" w:eastAsia="仿宋" w:cs="仿宋"/>
                <w:b/>
                <w:bCs/>
                <w:color w:val="000000"/>
                <w:sz w:val="20"/>
                <w:szCs w:val="21"/>
              </w:rPr>
            </w:pPr>
            <w:r>
              <w:rPr>
                <w:rFonts w:hint="eastAsia" w:ascii="仿宋" w:hAnsi="仿宋" w:eastAsia="仿宋" w:cs="仿宋"/>
                <w:b/>
                <w:bCs/>
                <w:color w:val="000000"/>
                <w:sz w:val="21"/>
                <w:szCs w:val="21"/>
              </w:rPr>
              <w:t>课程分类</w:t>
            </w: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094215CF">
            <w:pPr>
              <w:spacing w:before="120" w:after="120" w:line="288" w:lineRule="auto"/>
              <w:ind w:left="0"/>
              <w:jc w:val="center"/>
              <w:rPr>
                <w:rFonts w:hint="eastAsia" w:ascii="仿宋" w:hAnsi="仿宋" w:eastAsia="仿宋" w:cs="仿宋"/>
                <w:b/>
                <w:bCs/>
                <w:color w:val="000000"/>
                <w:sz w:val="20"/>
                <w:szCs w:val="21"/>
              </w:rPr>
            </w:pPr>
            <w:r>
              <w:rPr>
                <w:rFonts w:hint="eastAsia" w:ascii="仿宋" w:hAnsi="仿宋" w:eastAsia="仿宋" w:cs="仿宋"/>
                <w:b/>
                <w:bCs/>
                <w:color w:val="000000"/>
                <w:sz w:val="21"/>
                <w:szCs w:val="21"/>
              </w:rPr>
              <w:t>课程名称</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3B9B978C">
            <w:pPr>
              <w:spacing w:before="120" w:after="120" w:line="288" w:lineRule="auto"/>
              <w:ind w:left="0"/>
              <w:jc w:val="center"/>
              <w:rPr>
                <w:rFonts w:hint="eastAsia" w:ascii="仿宋" w:hAnsi="仿宋" w:eastAsia="仿宋" w:cs="仿宋"/>
                <w:b/>
                <w:bCs/>
                <w:color w:val="000000"/>
                <w:sz w:val="20"/>
                <w:szCs w:val="21"/>
              </w:rPr>
            </w:pPr>
            <w:r>
              <w:rPr>
                <w:rFonts w:hint="eastAsia" w:ascii="仿宋" w:hAnsi="仿宋" w:eastAsia="仿宋" w:cs="仿宋"/>
                <w:b/>
                <w:bCs/>
                <w:color w:val="000000"/>
                <w:sz w:val="21"/>
                <w:szCs w:val="21"/>
              </w:rPr>
              <w:t>课时</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2B4FD92B">
            <w:pPr>
              <w:spacing w:before="120" w:after="120" w:line="288" w:lineRule="auto"/>
              <w:ind w:left="0"/>
              <w:jc w:val="center"/>
              <w:rPr>
                <w:rFonts w:hint="eastAsia" w:ascii="仿宋" w:hAnsi="仿宋" w:eastAsia="仿宋" w:cs="仿宋"/>
                <w:b/>
                <w:bCs/>
                <w:color w:val="000000"/>
                <w:sz w:val="20"/>
                <w:szCs w:val="21"/>
              </w:rPr>
            </w:pPr>
            <w:r>
              <w:rPr>
                <w:rFonts w:hint="eastAsia" w:ascii="仿宋" w:hAnsi="仿宋" w:eastAsia="仿宋" w:cs="仿宋"/>
                <w:b/>
                <w:bCs/>
                <w:color w:val="000000"/>
                <w:sz w:val="21"/>
                <w:szCs w:val="21"/>
              </w:rPr>
              <w:t>学分</w:t>
            </w:r>
          </w:p>
        </w:tc>
      </w:tr>
      <w:tr w14:paraId="1976C7B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15A80EBF">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1</w:t>
            </w:r>
          </w:p>
        </w:tc>
        <w:tc>
          <w:tcPr>
            <w:tcW w:w="1533" w:type="pct"/>
            <w:vMerge w:val="restart"/>
            <w:tcBorders>
              <w:top w:val="single" w:color="000000" w:sz="4" w:space="0"/>
              <w:left w:val="single" w:color="000000" w:sz="4" w:space="0"/>
              <w:right w:val="single" w:color="000000" w:sz="4" w:space="0"/>
            </w:tcBorders>
            <w:shd w:val="clear" w:color="auto" w:fill="FFFFFF"/>
            <w:tcMar>
              <w:top w:w="60" w:type="dxa"/>
              <w:left w:w="120" w:type="dxa"/>
              <w:bottom w:w="30" w:type="dxa"/>
              <w:right w:w="120" w:type="dxa"/>
            </w:tcMar>
            <w:vAlign w:val="center"/>
          </w:tcPr>
          <w:p w14:paraId="3A10A7E6">
            <w:pPr>
              <w:spacing w:before="120" w:after="120" w:line="288" w:lineRule="auto"/>
              <w:ind w:left="0"/>
              <w:jc w:val="center"/>
              <w:rPr>
                <w:rFonts w:hint="eastAsia" w:ascii="仿宋" w:hAnsi="仿宋" w:eastAsia="仿宋" w:cs="仿宋"/>
                <w:b w:val="0"/>
                <w:color w:val="000000"/>
                <w:sz w:val="21"/>
                <w:szCs w:val="21"/>
              </w:rPr>
            </w:pPr>
            <w:r>
              <w:rPr>
                <w:rFonts w:hint="eastAsia" w:ascii="仿宋" w:hAnsi="仿宋" w:eastAsia="仿宋" w:cs="仿宋"/>
                <w:b w:val="0"/>
                <w:color w:val="000000"/>
                <w:sz w:val="21"/>
                <w:szCs w:val="21"/>
              </w:rPr>
              <w:t>基础理论</w:t>
            </w:r>
            <w:r>
              <w:rPr>
                <w:rFonts w:hint="eastAsia" w:ascii="仿宋" w:hAnsi="仿宋" w:eastAsia="仿宋" w:cs="仿宋"/>
                <w:b w:val="0"/>
                <w:color w:val="000000"/>
                <w:sz w:val="21"/>
                <w:szCs w:val="21"/>
                <w:lang w:val="en-US" w:eastAsia="zh-CN"/>
              </w:rPr>
              <w:t>与方法</w:t>
            </w:r>
            <w:r>
              <w:rPr>
                <w:rFonts w:hint="eastAsia" w:ascii="仿宋" w:hAnsi="仿宋" w:eastAsia="仿宋" w:cs="仿宋"/>
                <w:b w:val="0"/>
                <w:color w:val="000000"/>
                <w:sz w:val="21"/>
                <w:szCs w:val="21"/>
              </w:rPr>
              <w:t>模块</w:t>
            </w:r>
          </w:p>
          <w:p w14:paraId="24D9317A">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lang w:eastAsia="zh-CN"/>
              </w:rPr>
              <w:t>（</w:t>
            </w:r>
            <w:r>
              <w:rPr>
                <w:rFonts w:hint="eastAsia" w:ascii="仿宋" w:hAnsi="仿宋" w:eastAsia="仿宋" w:cs="仿宋"/>
                <w:b w:val="0"/>
                <w:color w:val="000000"/>
                <w:sz w:val="21"/>
                <w:szCs w:val="21"/>
                <w:lang w:val="en-US" w:eastAsia="zh-CN"/>
              </w:rPr>
              <w:t>6学分）</w:t>
            </w: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2DBE30A5">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社会学概论</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85581C5">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12ED3376">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2.0</w:t>
            </w:r>
          </w:p>
        </w:tc>
      </w:tr>
      <w:tr w14:paraId="0122EE7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0C8155F4">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2</w:t>
            </w:r>
          </w:p>
        </w:tc>
        <w:tc>
          <w:tcPr>
            <w:tcW w:w="1533" w:type="pct"/>
            <w:vMerge w:val="continue"/>
            <w:tcBorders>
              <w:left w:val="single" w:color="000000" w:sz="4" w:space="0"/>
              <w:right w:val="single" w:color="000000" w:sz="4" w:space="0"/>
            </w:tcBorders>
            <w:shd w:val="clear" w:color="auto" w:fill="FFFFFF"/>
            <w:tcMar>
              <w:top w:w="60" w:type="dxa"/>
              <w:left w:w="120" w:type="dxa"/>
              <w:bottom w:w="30" w:type="dxa"/>
              <w:right w:w="120" w:type="dxa"/>
            </w:tcMar>
            <w:vAlign w:val="center"/>
          </w:tcPr>
          <w:p w14:paraId="5591B6E3">
            <w:pPr>
              <w:spacing w:before="120" w:after="120" w:line="288" w:lineRule="auto"/>
              <w:ind w:left="0"/>
              <w:jc w:val="center"/>
              <w:rPr>
                <w:rFonts w:hint="eastAsia" w:ascii="仿宋" w:hAnsi="仿宋" w:eastAsia="仿宋" w:cs="仿宋"/>
                <w:b w:val="0"/>
                <w:color w:val="000000"/>
                <w:sz w:val="20"/>
                <w:szCs w:val="21"/>
              </w:rPr>
            </w:pP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40F50AC1">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社会工作概论</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FFC96F4">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2395532E">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2.0</w:t>
            </w:r>
          </w:p>
        </w:tc>
      </w:tr>
      <w:tr w14:paraId="44B1A52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0C8DEAAD">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3</w:t>
            </w:r>
          </w:p>
        </w:tc>
        <w:tc>
          <w:tcPr>
            <w:tcW w:w="1533" w:type="pct"/>
            <w:vMerge w:val="continue"/>
            <w:tcBorders>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vAlign w:val="center"/>
          </w:tcPr>
          <w:p w14:paraId="7074CDBA">
            <w:pPr>
              <w:spacing w:before="120" w:after="120" w:line="288" w:lineRule="auto"/>
              <w:ind w:left="0"/>
              <w:jc w:val="center"/>
              <w:rPr>
                <w:rFonts w:hint="eastAsia" w:ascii="仿宋" w:hAnsi="仿宋" w:eastAsia="仿宋" w:cs="仿宋"/>
                <w:b w:val="0"/>
                <w:color w:val="000000"/>
                <w:sz w:val="20"/>
                <w:szCs w:val="21"/>
              </w:rPr>
            </w:pP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74B7787E">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1"/>
                <w:szCs w:val="21"/>
                <w:lang w:val="en-US" w:eastAsia="zh-CN"/>
              </w:rPr>
              <w:t>社会研究方法</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4AE6C681">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7F05128">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2.0</w:t>
            </w:r>
          </w:p>
        </w:tc>
      </w:tr>
      <w:tr w14:paraId="0719B60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3739D462">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4</w:t>
            </w:r>
          </w:p>
        </w:tc>
        <w:tc>
          <w:tcPr>
            <w:tcW w:w="1533" w:type="pct"/>
            <w:vMerge w:val="restart"/>
            <w:tcBorders>
              <w:top w:val="single" w:color="000000" w:sz="4" w:space="0"/>
              <w:left w:val="single" w:color="000000" w:sz="4" w:space="0"/>
              <w:right w:val="single" w:color="000000" w:sz="4" w:space="0"/>
            </w:tcBorders>
            <w:shd w:val="clear" w:color="auto" w:fill="FFFFFF"/>
            <w:tcMar>
              <w:top w:w="60" w:type="dxa"/>
              <w:left w:w="120" w:type="dxa"/>
              <w:bottom w:w="30" w:type="dxa"/>
              <w:right w:w="120" w:type="dxa"/>
            </w:tcMar>
            <w:vAlign w:val="center"/>
          </w:tcPr>
          <w:p w14:paraId="01D62932">
            <w:pPr>
              <w:spacing w:before="120" w:after="120" w:line="288" w:lineRule="auto"/>
              <w:ind w:left="0"/>
              <w:jc w:val="center"/>
              <w:rPr>
                <w:rFonts w:hint="eastAsia" w:ascii="仿宋" w:hAnsi="仿宋" w:eastAsia="仿宋" w:cs="仿宋"/>
                <w:b w:val="0"/>
                <w:color w:val="000000"/>
                <w:sz w:val="21"/>
                <w:szCs w:val="21"/>
              </w:rPr>
            </w:pPr>
            <w:r>
              <w:rPr>
                <w:rFonts w:hint="eastAsia" w:ascii="仿宋" w:hAnsi="仿宋" w:eastAsia="仿宋" w:cs="仿宋"/>
                <w:b w:val="0"/>
                <w:color w:val="000000"/>
                <w:sz w:val="21"/>
                <w:szCs w:val="21"/>
                <w:lang w:val="en-US" w:eastAsia="zh-CN"/>
              </w:rPr>
              <w:t>专业必修</w:t>
            </w:r>
            <w:r>
              <w:rPr>
                <w:rFonts w:hint="eastAsia" w:ascii="仿宋" w:hAnsi="仿宋" w:eastAsia="仿宋" w:cs="仿宋"/>
                <w:b w:val="0"/>
                <w:color w:val="000000"/>
                <w:sz w:val="21"/>
                <w:szCs w:val="21"/>
              </w:rPr>
              <w:t>模块</w:t>
            </w:r>
          </w:p>
          <w:p w14:paraId="2ADE30DB">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lang w:eastAsia="zh-CN"/>
              </w:rPr>
              <w:t>（</w:t>
            </w:r>
            <w:r>
              <w:rPr>
                <w:rFonts w:hint="eastAsia" w:ascii="仿宋" w:hAnsi="仿宋" w:eastAsia="仿宋" w:cs="仿宋"/>
                <w:b w:val="0"/>
                <w:color w:val="000000"/>
                <w:sz w:val="21"/>
                <w:szCs w:val="21"/>
                <w:lang w:val="en-US" w:eastAsia="zh-CN"/>
              </w:rPr>
              <w:t>6学分）</w:t>
            </w: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337432BC">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高级社会工作实务</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02F187C9">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74A527EF">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2.0</w:t>
            </w:r>
          </w:p>
        </w:tc>
      </w:tr>
      <w:tr w14:paraId="76FFC7A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4CD50AE">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5</w:t>
            </w:r>
          </w:p>
        </w:tc>
        <w:tc>
          <w:tcPr>
            <w:tcW w:w="1533" w:type="pct"/>
            <w:vMerge w:val="continue"/>
            <w:tcBorders>
              <w:left w:val="single" w:color="000000" w:sz="4" w:space="0"/>
              <w:right w:val="single" w:color="000000" w:sz="4" w:space="0"/>
            </w:tcBorders>
            <w:shd w:val="clear" w:color="auto" w:fill="FFFFFF"/>
            <w:tcMar>
              <w:top w:w="60" w:type="dxa"/>
              <w:left w:w="120" w:type="dxa"/>
              <w:bottom w:w="30" w:type="dxa"/>
              <w:right w:w="120" w:type="dxa"/>
            </w:tcMar>
            <w:vAlign w:val="center"/>
          </w:tcPr>
          <w:p w14:paraId="1E3B07C3">
            <w:pPr>
              <w:spacing w:before="120" w:after="120" w:line="288" w:lineRule="auto"/>
              <w:ind w:left="0"/>
              <w:jc w:val="center"/>
              <w:rPr>
                <w:rFonts w:hint="eastAsia" w:ascii="仿宋" w:hAnsi="仿宋" w:eastAsia="仿宋" w:cs="仿宋"/>
                <w:b w:val="0"/>
                <w:color w:val="000000"/>
                <w:sz w:val="20"/>
                <w:szCs w:val="21"/>
              </w:rPr>
            </w:pP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7CF12932">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1"/>
                <w:szCs w:val="21"/>
                <w:lang w:val="en-US" w:eastAsia="zh-CN"/>
              </w:rPr>
              <w:t>社会政策分析</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7FCF0E64">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0C9C74F5">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2.0</w:t>
            </w:r>
          </w:p>
        </w:tc>
      </w:tr>
      <w:tr w14:paraId="37B9C8D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354978A">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6</w:t>
            </w:r>
          </w:p>
        </w:tc>
        <w:tc>
          <w:tcPr>
            <w:tcW w:w="1533" w:type="pct"/>
            <w:vMerge w:val="continue"/>
            <w:tcBorders>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vAlign w:val="center"/>
          </w:tcPr>
          <w:p w14:paraId="57396126">
            <w:pPr>
              <w:spacing w:before="120" w:after="120" w:line="288" w:lineRule="auto"/>
              <w:ind w:left="0"/>
              <w:jc w:val="center"/>
              <w:rPr>
                <w:rFonts w:hint="eastAsia" w:ascii="仿宋" w:hAnsi="仿宋" w:eastAsia="仿宋" w:cs="仿宋"/>
                <w:b w:val="0"/>
                <w:color w:val="000000"/>
                <w:sz w:val="20"/>
                <w:szCs w:val="21"/>
              </w:rPr>
            </w:pP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1625ED7D">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社会工作理论</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2F35AB19">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A8E0692">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2.0</w:t>
            </w:r>
          </w:p>
        </w:tc>
      </w:tr>
      <w:tr w14:paraId="5A339AC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7F2DA80C">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9</w:t>
            </w:r>
          </w:p>
        </w:tc>
        <w:tc>
          <w:tcPr>
            <w:tcW w:w="1533" w:type="pct"/>
            <w:vMerge w:val="restart"/>
            <w:tcBorders>
              <w:top w:val="single" w:color="000000" w:sz="4" w:space="0"/>
              <w:left w:val="single" w:color="000000" w:sz="4" w:space="0"/>
              <w:right w:val="single" w:color="000000" w:sz="4" w:space="0"/>
            </w:tcBorders>
            <w:shd w:val="clear" w:color="auto" w:fill="FFFFFF"/>
            <w:tcMar>
              <w:top w:w="60" w:type="dxa"/>
              <w:left w:w="120" w:type="dxa"/>
              <w:bottom w:w="30" w:type="dxa"/>
              <w:right w:w="120" w:type="dxa"/>
            </w:tcMar>
            <w:vAlign w:val="center"/>
          </w:tcPr>
          <w:p w14:paraId="5BD7C78E">
            <w:pPr>
              <w:spacing w:before="120" w:after="120" w:line="288" w:lineRule="auto"/>
              <w:ind w:left="0"/>
              <w:jc w:val="center"/>
              <w:rPr>
                <w:rFonts w:hint="eastAsia" w:ascii="仿宋" w:hAnsi="仿宋" w:eastAsia="仿宋" w:cs="仿宋"/>
                <w:b w:val="0"/>
                <w:color w:val="000000"/>
                <w:sz w:val="21"/>
                <w:szCs w:val="21"/>
              </w:rPr>
            </w:pPr>
            <w:r>
              <w:rPr>
                <w:rFonts w:hint="eastAsia" w:ascii="仿宋" w:hAnsi="仿宋" w:eastAsia="仿宋" w:cs="仿宋"/>
                <w:b w:val="0"/>
                <w:color w:val="000000"/>
                <w:sz w:val="21"/>
                <w:szCs w:val="21"/>
                <w:lang w:val="en-US" w:eastAsia="zh-CN"/>
              </w:rPr>
              <w:t>专业选修</w:t>
            </w:r>
            <w:r>
              <w:rPr>
                <w:rFonts w:hint="eastAsia" w:ascii="仿宋" w:hAnsi="仿宋" w:eastAsia="仿宋" w:cs="仿宋"/>
                <w:b w:val="0"/>
                <w:color w:val="000000"/>
                <w:sz w:val="21"/>
                <w:szCs w:val="21"/>
              </w:rPr>
              <w:t>模块</w:t>
            </w:r>
          </w:p>
          <w:p w14:paraId="3C8C66E1">
            <w:pPr>
              <w:spacing w:before="120" w:after="120" w:line="288" w:lineRule="auto"/>
              <w:ind w:left="0"/>
              <w:jc w:val="center"/>
              <w:rPr>
                <w:rFonts w:hint="eastAsia" w:ascii="仿宋" w:hAnsi="仿宋" w:eastAsia="仿宋" w:cs="仿宋"/>
                <w:b w:val="0"/>
                <w:color w:val="000000"/>
                <w:sz w:val="21"/>
                <w:szCs w:val="21"/>
              </w:rPr>
            </w:pPr>
            <w:r>
              <w:rPr>
                <w:rFonts w:hint="eastAsia" w:ascii="仿宋" w:hAnsi="仿宋" w:eastAsia="仿宋" w:cs="仿宋"/>
                <w:b w:val="0"/>
                <w:color w:val="000000"/>
                <w:sz w:val="21"/>
                <w:szCs w:val="21"/>
                <w:lang w:eastAsia="zh-CN"/>
              </w:rPr>
              <w:t>（</w:t>
            </w:r>
            <w:r>
              <w:rPr>
                <w:rFonts w:hint="eastAsia" w:ascii="仿宋" w:hAnsi="仿宋" w:eastAsia="仿宋" w:cs="仿宋"/>
                <w:b w:val="0"/>
                <w:color w:val="000000"/>
                <w:sz w:val="21"/>
                <w:szCs w:val="21"/>
                <w:lang w:val="en-US" w:eastAsia="zh-CN"/>
              </w:rPr>
              <w:t>4学分）</w:t>
            </w: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7F37BFBB">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网络社会学</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4204A9CA">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095C5FA">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2.0</w:t>
            </w:r>
          </w:p>
        </w:tc>
      </w:tr>
      <w:tr w14:paraId="2869FB9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8D7DA62">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10</w:t>
            </w:r>
          </w:p>
        </w:tc>
        <w:tc>
          <w:tcPr>
            <w:tcW w:w="1533" w:type="pct"/>
            <w:vMerge w:val="continue"/>
            <w:tcBorders>
              <w:left w:val="single" w:color="000000" w:sz="4" w:space="0"/>
              <w:right w:val="single" w:color="000000" w:sz="4" w:space="0"/>
            </w:tcBorders>
            <w:shd w:val="clear" w:color="auto" w:fill="FFFFFF"/>
            <w:tcMar>
              <w:top w:w="60" w:type="dxa"/>
              <w:left w:w="120" w:type="dxa"/>
              <w:bottom w:w="30" w:type="dxa"/>
              <w:right w:w="120" w:type="dxa"/>
            </w:tcMar>
          </w:tcPr>
          <w:p w14:paraId="7A0B334E">
            <w:pPr>
              <w:spacing w:before="120" w:after="120" w:line="288" w:lineRule="auto"/>
              <w:ind w:left="0"/>
              <w:jc w:val="center"/>
              <w:rPr>
                <w:rFonts w:hint="eastAsia" w:ascii="仿宋" w:hAnsi="仿宋" w:eastAsia="仿宋" w:cs="仿宋"/>
                <w:b w:val="0"/>
                <w:color w:val="000000"/>
                <w:sz w:val="20"/>
                <w:szCs w:val="21"/>
              </w:rPr>
            </w:pP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5EB722EF">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志愿服务组织管理</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2BD822B8">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0662E7A3">
            <w:pPr>
              <w:spacing w:before="120" w:after="120" w:line="288" w:lineRule="auto"/>
              <w:ind w:left="0"/>
              <w:jc w:val="center"/>
              <w:rPr>
                <w:rFonts w:hint="eastAsia" w:ascii="仿宋" w:hAnsi="仿宋" w:eastAsia="仿宋" w:cs="仿宋"/>
                <w:b w:val="0"/>
                <w:color w:val="000000"/>
                <w:sz w:val="20"/>
                <w:szCs w:val="21"/>
              </w:rPr>
            </w:pPr>
            <w:r>
              <w:rPr>
                <w:rFonts w:hint="eastAsia" w:ascii="仿宋" w:hAnsi="仿宋" w:eastAsia="仿宋" w:cs="仿宋"/>
                <w:b w:val="0"/>
                <w:color w:val="000000"/>
                <w:sz w:val="21"/>
                <w:szCs w:val="21"/>
              </w:rPr>
              <w:t>2.0</w:t>
            </w:r>
          </w:p>
        </w:tc>
      </w:tr>
      <w:tr w14:paraId="7228CA7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8B16B8F">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11</w:t>
            </w:r>
          </w:p>
        </w:tc>
        <w:tc>
          <w:tcPr>
            <w:tcW w:w="1533" w:type="pct"/>
            <w:vMerge w:val="continue"/>
            <w:tcBorders>
              <w:left w:val="single" w:color="000000" w:sz="4" w:space="0"/>
              <w:right w:val="single" w:color="000000" w:sz="4" w:space="0"/>
            </w:tcBorders>
            <w:shd w:val="clear" w:color="auto" w:fill="FFFFFF"/>
            <w:tcMar>
              <w:top w:w="60" w:type="dxa"/>
              <w:left w:w="120" w:type="dxa"/>
              <w:bottom w:w="30" w:type="dxa"/>
              <w:right w:w="120" w:type="dxa"/>
            </w:tcMar>
          </w:tcPr>
          <w:p w14:paraId="4763BCD8">
            <w:pPr>
              <w:spacing w:before="120" w:after="120" w:line="288" w:lineRule="auto"/>
              <w:ind w:left="0"/>
              <w:jc w:val="both"/>
              <w:rPr>
                <w:rFonts w:hint="eastAsia" w:ascii="仿宋" w:hAnsi="仿宋" w:eastAsia="仿宋" w:cs="仿宋"/>
                <w:b w:val="0"/>
                <w:color w:val="000000"/>
                <w:sz w:val="20"/>
                <w:szCs w:val="21"/>
              </w:rPr>
            </w:pP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7D08C046">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基层治理</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F59BD3A">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54FEF7A2">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2.0</w:t>
            </w:r>
          </w:p>
        </w:tc>
      </w:tr>
      <w:tr w14:paraId="3A247F0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1DDD0918">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12</w:t>
            </w:r>
          </w:p>
        </w:tc>
        <w:tc>
          <w:tcPr>
            <w:tcW w:w="1533" w:type="pct"/>
            <w:vMerge w:val="continue"/>
            <w:tcBorders>
              <w:left w:val="single" w:color="000000" w:sz="4" w:space="0"/>
              <w:bottom w:val="single" w:color="auto" w:sz="4" w:space="0"/>
              <w:right w:val="single" w:color="000000" w:sz="4" w:space="0"/>
            </w:tcBorders>
            <w:shd w:val="clear" w:color="auto" w:fill="FFFFFF"/>
            <w:tcMar>
              <w:top w:w="60" w:type="dxa"/>
              <w:left w:w="120" w:type="dxa"/>
              <w:bottom w:w="30" w:type="dxa"/>
              <w:right w:w="120" w:type="dxa"/>
            </w:tcMar>
          </w:tcPr>
          <w:p w14:paraId="02DC52C4">
            <w:pPr>
              <w:spacing w:before="120" w:after="120" w:line="288" w:lineRule="auto"/>
              <w:ind w:left="0"/>
              <w:jc w:val="both"/>
              <w:rPr>
                <w:rFonts w:hint="eastAsia" w:ascii="仿宋" w:hAnsi="仿宋" w:eastAsia="仿宋" w:cs="仿宋"/>
                <w:b w:val="0"/>
                <w:color w:val="000000"/>
                <w:sz w:val="20"/>
                <w:szCs w:val="21"/>
              </w:rPr>
            </w:pPr>
          </w:p>
        </w:tc>
        <w:tc>
          <w:tcPr>
            <w:tcW w:w="2044" w:type="pct"/>
            <w:tcBorders>
              <w:top w:val="single" w:color="000000" w:sz="4" w:space="0"/>
              <w:left w:val="single" w:color="000000" w:sz="4" w:space="0"/>
              <w:bottom w:val="single" w:color="auto" w:sz="4" w:space="0"/>
              <w:right w:val="single" w:color="000000" w:sz="4" w:space="0"/>
            </w:tcBorders>
            <w:shd w:val="clear" w:color="auto" w:fill="FFFFFF"/>
            <w:tcMar>
              <w:top w:w="60" w:type="dxa"/>
              <w:left w:w="120" w:type="dxa"/>
              <w:bottom w:w="30" w:type="dxa"/>
              <w:right w:w="120" w:type="dxa"/>
            </w:tcMar>
          </w:tcPr>
          <w:p w14:paraId="0CE60E53">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社会心理学</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DBC197A">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52CECBEA">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2.0</w:t>
            </w:r>
          </w:p>
        </w:tc>
      </w:tr>
      <w:tr w14:paraId="258683A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4" w:hRule="atLeast"/>
        </w:trPr>
        <w:tc>
          <w:tcPr>
            <w:tcW w:w="473" w:type="pct"/>
            <w:tcBorders>
              <w:top w:val="single" w:color="000000" w:sz="4" w:space="0"/>
              <w:left w:val="single" w:color="000000" w:sz="4" w:space="0"/>
              <w:bottom w:val="single" w:color="auto" w:sz="4" w:space="0"/>
              <w:right w:val="single" w:color="000000" w:sz="4" w:space="0"/>
            </w:tcBorders>
            <w:shd w:val="clear" w:color="auto" w:fill="FFFFFF"/>
            <w:tcMar>
              <w:top w:w="60" w:type="dxa"/>
              <w:left w:w="120" w:type="dxa"/>
              <w:bottom w:w="30" w:type="dxa"/>
              <w:right w:w="120" w:type="dxa"/>
            </w:tcMar>
          </w:tcPr>
          <w:p w14:paraId="0FE55D19">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13</w:t>
            </w:r>
          </w:p>
        </w:tc>
        <w:tc>
          <w:tcPr>
            <w:tcW w:w="1533" w:type="pct"/>
            <w:vMerge w:val="restart"/>
            <w:tcBorders>
              <w:top w:val="single" w:color="auto" w:sz="4" w:space="0"/>
              <w:left w:val="single" w:color="000000" w:sz="4" w:space="0"/>
              <w:right w:val="single" w:color="000000" w:sz="4" w:space="0"/>
            </w:tcBorders>
            <w:shd w:val="clear" w:color="auto" w:fill="FFFFFF"/>
            <w:tcMar>
              <w:top w:w="60" w:type="dxa"/>
              <w:left w:w="120" w:type="dxa"/>
              <w:bottom w:w="30" w:type="dxa"/>
              <w:right w:w="120" w:type="dxa"/>
            </w:tcMar>
          </w:tcPr>
          <w:p w14:paraId="02DCD342">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公共必修课</w:t>
            </w:r>
          </w:p>
          <w:p w14:paraId="53CDEFAE">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（6学分）</w:t>
            </w:r>
          </w:p>
        </w:tc>
        <w:tc>
          <w:tcPr>
            <w:tcW w:w="2044" w:type="pct"/>
            <w:tcBorders>
              <w:top w:val="single" w:color="auto"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74EA672">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公共英语</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122410B7">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5FB4C01E">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3.0</w:t>
            </w:r>
          </w:p>
        </w:tc>
      </w:tr>
      <w:tr w14:paraId="1EF15FD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268" w:hRule="atLeast"/>
        </w:trPr>
        <w:tc>
          <w:tcPr>
            <w:tcW w:w="473" w:type="pct"/>
            <w:tcBorders>
              <w:top w:val="single" w:color="auto"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05845BF9">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14</w:t>
            </w:r>
          </w:p>
        </w:tc>
        <w:tc>
          <w:tcPr>
            <w:tcW w:w="1533" w:type="pct"/>
            <w:vMerge w:val="continue"/>
            <w:tcBorders>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44135CC6">
            <w:pPr>
              <w:spacing w:before="120" w:after="120" w:line="288" w:lineRule="auto"/>
              <w:ind w:left="0"/>
              <w:jc w:val="both"/>
              <w:rPr>
                <w:rFonts w:hint="eastAsia" w:ascii="仿宋" w:hAnsi="仿宋" w:eastAsia="仿宋" w:cs="仿宋"/>
                <w:b w:val="0"/>
                <w:color w:val="000000"/>
                <w:sz w:val="20"/>
                <w:szCs w:val="21"/>
              </w:rPr>
            </w:pPr>
          </w:p>
        </w:tc>
        <w:tc>
          <w:tcPr>
            <w:tcW w:w="204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672EAB59">
            <w:pPr>
              <w:spacing w:before="120" w:after="120" w:line="288" w:lineRule="auto"/>
              <w:ind w:left="0"/>
              <w:jc w:val="center"/>
              <w:rPr>
                <w:rFonts w:hint="eastAsia" w:ascii="仿宋" w:hAnsi="仿宋" w:eastAsia="仿宋" w:cs="仿宋"/>
                <w:b w:val="0"/>
                <w:color w:val="000000"/>
                <w:sz w:val="20"/>
                <w:szCs w:val="21"/>
                <w:lang w:val="en-US" w:eastAsia="zh-CN"/>
              </w:rPr>
            </w:pPr>
            <w:r>
              <w:rPr>
                <w:rFonts w:hint="eastAsia" w:ascii="仿宋" w:hAnsi="仿宋" w:eastAsia="仿宋" w:cs="仿宋"/>
                <w:b w:val="0"/>
                <w:color w:val="000000"/>
                <w:sz w:val="20"/>
                <w:szCs w:val="21"/>
                <w:lang w:val="en-US" w:eastAsia="zh-CN"/>
              </w:rPr>
              <w:t>中国特色社会主义理论与实践</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161048AE">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32</w:t>
            </w:r>
          </w:p>
        </w:tc>
        <w:tc>
          <w:tcPr>
            <w:tcW w:w="474" w:type="pct"/>
            <w:tcBorders>
              <w:top w:val="single" w:color="000000" w:sz="4" w:space="0"/>
              <w:left w:val="single" w:color="000000" w:sz="4" w:space="0"/>
              <w:bottom w:val="single" w:color="000000" w:sz="4" w:space="0"/>
              <w:right w:val="single" w:color="000000" w:sz="4" w:space="0"/>
            </w:tcBorders>
            <w:shd w:val="clear" w:color="auto" w:fill="FFFFFF"/>
            <w:tcMar>
              <w:top w:w="60" w:type="dxa"/>
              <w:left w:w="120" w:type="dxa"/>
              <w:bottom w:w="30" w:type="dxa"/>
              <w:right w:w="120" w:type="dxa"/>
            </w:tcMar>
          </w:tcPr>
          <w:p w14:paraId="76736B87">
            <w:pPr>
              <w:spacing w:before="120" w:after="120" w:line="288" w:lineRule="auto"/>
              <w:ind w:left="0"/>
              <w:jc w:val="center"/>
              <w:rPr>
                <w:rFonts w:hint="eastAsia" w:ascii="仿宋" w:hAnsi="仿宋" w:eastAsia="仿宋" w:cs="仿宋"/>
                <w:b w:val="0"/>
                <w:color w:val="000000"/>
                <w:sz w:val="21"/>
                <w:szCs w:val="21"/>
                <w:lang w:val="en-US" w:eastAsia="zh-CN"/>
              </w:rPr>
            </w:pPr>
            <w:r>
              <w:rPr>
                <w:rFonts w:hint="eastAsia" w:ascii="仿宋" w:hAnsi="仿宋" w:eastAsia="仿宋" w:cs="仿宋"/>
                <w:b w:val="0"/>
                <w:color w:val="000000"/>
                <w:sz w:val="21"/>
                <w:szCs w:val="21"/>
                <w:lang w:val="en-US" w:eastAsia="zh-CN"/>
              </w:rPr>
              <w:t>3.0</w:t>
            </w:r>
          </w:p>
        </w:tc>
      </w:tr>
    </w:tbl>
    <w:p w14:paraId="033F1BC2">
      <w:pPr>
        <w:spacing w:before="120" w:after="120" w:line="288" w:lineRule="auto"/>
        <w:ind w:left="0"/>
        <w:jc w:val="left"/>
      </w:pPr>
    </w:p>
    <w:p w14:paraId="70008461">
      <w:pPr>
        <w:spacing w:line="360" w:lineRule="exact"/>
        <w:ind w:firstLine="480" w:firstLineChars="200"/>
        <w:rPr>
          <w:rFonts w:hint="eastAsia"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七、缴纳学费</w:t>
      </w:r>
    </w:p>
    <w:p w14:paraId="7B8E50F5">
      <w:pPr>
        <w:pStyle w:val="2"/>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根据我校下发的《江西财经大学同等学力人员申请硕士学位收入管理办法》的通知（江财财务字【2022】4号）文件精神，从即日起，学费缴纳分两段制进行，即课程学习阶段和撰写学位论文及答辩阶段。课程学习阶段学费为</w:t>
      </w:r>
      <w:r>
        <w:rPr>
          <w:rFonts w:hint="default" w:ascii="Times New Roman" w:hAnsi="Times New Roman" w:eastAsia="仿宋_GB2312" w:cs="宋体"/>
          <w:bCs/>
          <w:kern w:val="2"/>
          <w:sz w:val="24"/>
          <w:szCs w:val="24"/>
          <w:lang w:val="en-US" w:eastAsia="zh-CN" w:bidi="ar-SA"/>
        </w:rPr>
        <w:t>15000</w:t>
      </w:r>
      <w:r>
        <w:rPr>
          <w:rFonts w:hint="eastAsia" w:ascii="Times New Roman" w:hAnsi="Times New Roman" w:eastAsia="仿宋_GB2312" w:cs="宋体"/>
          <w:bCs/>
          <w:kern w:val="2"/>
          <w:sz w:val="24"/>
          <w:szCs w:val="24"/>
          <w:lang w:val="en-US" w:eastAsia="zh-CN" w:bidi="ar-SA"/>
        </w:rPr>
        <w:t>元，教材、资料自理。撰写学位论文及答辩阶段学费为8000元，各项收费实际以学校相关规定为准。学生缴纳相关费用后，可获得学校财务处开具的电子缴费发票。</w:t>
      </w:r>
    </w:p>
    <w:p w14:paraId="06E215FC">
      <w:pPr>
        <w:spacing w:line="360" w:lineRule="exact"/>
        <w:ind w:firstLine="480" w:firstLineChars="200"/>
        <w:rPr>
          <w:rFonts w:hint="eastAsia"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八、报名流程</w:t>
      </w:r>
    </w:p>
    <w:p w14:paraId="01EC9FA5">
      <w:pPr>
        <w:pStyle w:val="2"/>
        <w:keepNext w:val="0"/>
        <w:keepLines w:val="0"/>
        <w:widowControl/>
        <w:suppressLineNumbers w:val="0"/>
        <w:shd w:val="clear" w:color="auto" w:fill="FFFFFF"/>
        <w:spacing w:line="240" w:lineRule="auto"/>
        <w:ind w:left="0" w:firstLine="280"/>
        <w:jc w:val="both"/>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报名时需提交以下材料：</w:t>
      </w:r>
    </w:p>
    <w:p w14:paraId="50C3BD73">
      <w:pPr>
        <w:pStyle w:val="2"/>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1．报名表</w:t>
      </w:r>
    </w:p>
    <w:p w14:paraId="11D7747D">
      <w:pPr>
        <w:pStyle w:val="2"/>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2．本人身份证正、反面电子稿；</w:t>
      </w:r>
    </w:p>
    <w:p w14:paraId="036DD31C">
      <w:pPr>
        <w:pStyle w:val="2"/>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3．本人学历毕业证书和学位证书电子稿；</w:t>
      </w:r>
    </w:p>
    <w:p w14:paraId="43B9E448">
      <w:pPr>
        <w:pStyle w:val="2"/>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4．本人近期免冠1寸蓝底彩照；</w:t>
      </w:r>
    </w:p>
    <w:p w14:paraId="19EA93D6">
      <w:pPr>
        <w:pStyle w:val="2"/>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5．告知书。</w:t>
      </w:r>
    </w:p>
    <w:sectPr>
      <w:headerReference r:id="rId5" w:type="default"/>
      <w:footerReference r:id="rId6" w:type="default"/>
      <w:pgSz w:w="11905" w:h="1684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FFA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5D4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3F6DE"/>
    <w:multiLevelType w:val="singleLevel"/>
    <w:tmpl w:val="9683F6DE"/>
    <w:lvl w:ilvl="0" w:tentative="0">
      <w:start w:val="1"/>
      <w:numFmt w:val="decimal"/>
      <w:lvlText w:val="(%1)"/>
      <w:lvlJc w:val="left"/>
      <w:pPr>
        <w:tabs>
          <w:tab w:val="left" w:pos="420"/>
        </w:tabs>
        <w:ind w:left="84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splitPgBreakAndParaMark/>
    <w:compatSetting w:name="compatibilityMode" w:uri="http://schemas.microsoft.com/office/word" w:val="12"/>
  </w:compat>
  <w:rsids>
    <w:rsidRoot w:val="00000000"/>
    <w:rsid w:val="18830E24"/>
    <w:rsid w:val="2A623A8E"/>
    <w:rsid w:val="2D3D2209"/>
    <w:rsid w:val="43B444F3"/>
    <w:rsid w:val="685D3989"/>
    <w:rsid w:val="6DB7EC40"/>
    <w:rsid w:val="711865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_Style 1"/>
    <w:basedOn w:val="1"/>
    <w:qFormat/>
    <w:uiPriority w:val="34"/>
    <w:pPr>
      <w:ind w:firstLine="420" w:firstLineChars="200"/>
    </w:p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163</Words>
  <Characters>196</Characters>
  <TotalTime>6</TotalTime>
  <ScaleCrop>false</ScaleCrop>
  <LinksUpToDate>false</LinksUpToDate>
  <CharactersWithSpaces>196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2026-05-09T22:47:00Z</dcterms:created>
  <dc:creator>Apache POI</dc:creator>
  <cp:lastModifiedBy>人事尹老师</cp:lastModifiedBy>
  <dcterms:modified xsi:type="dcterms:W3CDTF">2026-05-13T06:10:45Z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909D1243A824B1F6FD49FF69E0396EA3_42</vt:lpwstr>
  </property>
  <property fmtid="{D5CDD505-2E9C-101B-9397-08002B2CF9AE}" pid="4" name="KSOTemplateDocerSaveRecord">
    <vt:lpwstr>eyJoZGlkIjoiYjM3NzQzZWVkNmFmNThmMDQyYWRhYjg2ZDJmNDhiYmEiLCJ1c2VySWQiOiIxMjk3NjkzNDEyIn0=</vt:lpwstr>
  </property>
</Properties>
</file>