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江西财经大学法学院法学</w:t>
      </w:r>
      <w:r>
        <w:rPr>
          <w:rFonts w:hint="eastAsia" w:ascii="仿宋" w:hAnsi="仿宋" w:eastAsia="仿宋" w:cs="仿宋"/>
          <w:b/>
          <w:bCs/>
          <w:sz w:val="28"/>
          <w:szCs w:val="28"/>
          <w:lang w:eastAsia="zh-CN"/>
        </w:rPr>
        <w:t>专业同等学力招生简章</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一、院校简介</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江西财经大学法学院源于1984年设立的经济学系经济法教研室；1995年成立经济法系；1999年经济法系更名为法律系；2001年在法律系的基础上组建法学院。自1998年起先后获得经济法学、刑法学、诉讼法学、宪法学与行政法学、民商法学、法学理论、国际法学、财税法等8个法学硕士学位授予权和法律硕士专业学位授予权，是江西省最早取得法律硕士授予权的单位（2003年），是江西省最早取得法学硕士授予权的单位之一（1998年），是全国财经类院校中最早取得法律硕士授予权的单位之一。2011年法学一级学科硕士点被遴选为江西省高等学校示范性硕士点。2011年在应用经济学一级学科博士点下自主设置法律经济学二级学科博士点。江西法治政府研究中心2013年获批为省高校人文社科重点研究基地。法治江西建设协同创新中心2015年获批为省级协同创新中心。2018年获批法学一级学科博士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法学院努力培养具有“信敏廉毅”素质的卓越法律人才，通过不断探索，牢固树立以法律职业教育为主体，寓素质教育于职业教育之中的教育理念，逐渐形成以“宽口径、厚基础、强能力、重实践”为特征的财经法律人才培养模式。经过十多年的不懈努力，学院基本实现了“江西有优势、同类有特色、全国有影响、海外有发展”的办学目标，正在努力朝着“高水平、大融合、上层次”的法学院的新目标迈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sz w:val="24"/>
          <w:szCs w:val="24"/>
          <w:lang w:val="en-US" w:eastAsia="zh-CN"/>
        </w:rPr>
      </w:pPr>
      <w:r>
        <w:rPr>
          <w:rFonts w:hint="eastAsia" w:ascii="仿宋" w:hAnsi="仿宋" w:eastAsia="仿宋" w:cs="仿宋"/>
          <w:b/>
          <w:bCs/>
          <w:sz w:val="24"/>
          <w:szCs w:val="24"/>
          <w:lang w:val="en-US" w:eastAsia="zh-CN"/>
        </w:rPr>
        <w:t>二、招生对象</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仿宋" w:hAnsi="仿宋" w:eastAsia="仿宋" w:cs="仿宋"/>
          <w:b w:val="0"/>
          <w:sz w:val="24"/>
          <w:szCs w:val="24"/>
        </w:rPr>
      </w:pPr>
      <w:r>
        <w:rPr>
          <w:rFonts w:hint="eastAsia" w:ascii="仿宋" w:hAnsi="仿宋" w:eastAsia="仿宋" w:cs="仿宋"/>
          <w:b w:val="0"/>
          <w:sz w:val="24"/>
          <w:szCs w:val="24"/>
          <w:lang w:val="en-US" w:eastAsia="zh-CN"/>
        </w:rPr>
        <w:t>1、拥</w:t>
      </w:r>
      <w:r>
        <w:rPr>
          <w:rFonts w:hint="eastAsia" w:ascii="仿宋" w:hAnsi="仿宋" w:eastAsia="仿宋" w:cs="仿宋"/>
          <w:b w:val="0"/>
          <w:sz w:val="24"/>
          <w:szCs w:val="24"/>
          <w:lang w:eastAsia="zh-CN"/>
        </w:rPr>
        <w:t>护《中华人民共和国宪法》,遵守法律、法规,品行端正。2、具有大学本科学历,获得学士学位,并获得学士学位三年以上(含三年),或虽无本科学</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lang w:eastAsia="zh-CN"/>
        </w:rPr>
        <w:t>学位但</w:t>
      </w:r>
      <w:r>
        <w:rPr>
          <w:rFonts w:hint="eastAsia" w:ascii="仿宋" w:hAnsi="仿宋" w:eastAsia="仿宋" w:cs="仿宋"/>
          <w:b w:val="0"/>
          <w:sz w:val="24"/>
          <w:szCs w:val="24"/>
        </w:rPr>
        <w:t>已获得硕</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或博</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学位者。对已获得的学</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、硕</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或博</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学位为国(境)外学位的,其所获的国(境)外学位需经教育部留学服务中心认证。</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rPr>
      </w:pPr>
      <w:r>
        <w:rPr>
          <w:rFonts w:hint="eastAsia" w:ascii="仿宋" w:hAnsi="仿宋" w:eastAsia="仿宋" w:cs="仿宋"/>
          <w:b w:val="0"/>
          <w:sz w:val="24"/>
          <w:szCs w:val="24"/>
          <w:lang w:val="en-US" w:eastAsia="zh-CN"/>
        </w:rPr>
        <w:t>3、</w:t>
      </w:r>
      <w:r>
        <w:rPr>
          <w:rFonts w:hint="eastAsia" w:ascii="仿宋" w:hAnsi="仿宋" w:eastAsia="仿宋" w:cs="仿宋"/>
          <w:b w:val="0"/>
          <w:sz w:val="24"/>
          <w:szCs w:val="24"/>
        </w:rPr>
        <w:t>学士学位未满三年可以先入学课程学习,待满三年参加全国统一考试后方可申请</w:t>
      </w:r>
      <w:r>
        <w:rPr>
          <w:rFonts w:hint="eastAsia" w:ascii="仿宋" w:hAnsi="仿宋" w:eastAsia="仿宋" w:cs="仿宋"/>
          <w:b w:val="0"/>
          <w:sz w:val="24"/>
          <w:szCs w:val="24"/>
          <w:lang w:val="en-US" w:eastAsia="zh-CN"/>
        </w:rPr>
        <w:t>硕士学位。</w:t>
      </w:r>
      <w:r>
        <w:rPr>
          <w:rFonts w:hint="eastAsia" w:ascii="仿宋" w:hAnsi="仿宋" w:eastAsia="仿宋" w:cs="仿宋"/>
          <w:b w:val="0"/>
          <w:sz w:val="24"/>
          <w:szCs w:val="24"/>
        </w:rPr>
        <w:t>4</w:t>
      </w:r>
      <w:r>
        <w:rPr>
          <w:rFonts w:hint="eastAsia" w:ascii="仿宋" w:hAnsi="仿宋" w:eastAsia="仿宋" w:cs="仿宋"/>
          <w:b w:val="0"/>
          <w:sz w:val="24"/>
          <w:szCs w:val="24"/>
          <w:lang w:eastAsia="zh-CN"/>
        </w:rPr>
        <w:t>、</w:t>
      </w:r>
      <w:r>
        <w:rPr>
          <w:rFonts w:hint="eastAsia" w:ascii="仿宋" w:hAnsi="仿宋" w:eastAsia="仿宋" w:cs="仿宋"/>
          <w:b w:val="0"/>
          <w:sz w:val="24"/>
          <w:szCs w:val="24"/>
        </w:rPr>
        <w:t>具有大学</w:t>
      </w:r>
      <w:r>
        <w:rPr>
          <w:rFonts w:hint="eastAsia" w:ascii="仿宋" w:hAnsi="仿宋" w:eastAsia="仿宋" w:cs="仿宋"/>
          <w:b w:val="0"/>
          <w:sz w:val="24"/>
          <w:szCs w:val="24"/>
          <w:lang w:val="en-US" w:eastAsia="zh-CN"/>
        </w:rPr>
        <w:t>本</w:t>
      </w:r>
      <w:r>
        <w:rPr>
          <w:rFonts w:hint="eastAsia" w:ascii="仿宋" w:hAnsi="仿宋" w:eastAsia="仿宋" w:cs="仿宋"/>
          <w:b w:val="0"/>
          <w:sz w:val="24"/>
          <w:szCs w:val="24"/>
        </w:rPr>
        <w:t>科学历,但无学士学位或大专学历者可参加课程学习,获得江西财经大学研究生课程结业证书,但不能参加硕士学位申请。</w:t>
      </w:r>
    </w:p>
    <w:p>
      <w:pPr>
        <w:numPr>
          <w:ilvl w:val="0"/>
          <w:numId w:val="0"/>
        </w:numPr>
        <w:tabs>
          <w:tab w:val="left" w:pos="7253"/>
        </w:tabs>
        <w:jc w:val="left"/>
        <w:rPr>
          <w:rFonts w:hint="eastAsia" w:ascii="仿宋" w:hAnsi="仿宋" w:eastAsia="仿宋" w:cs="仿宋"/>
          <w:b/>
          <w:bCs/>
          <w:sz w:val="24"/>
          <w:szCs w:val="24"/>
          <w:vertAlign w:val="baseline"/>
          <w:lang w:val="en-US" w:eastAsia="zh-CN"/>
        </w:rPr>
      </w:pPr>
    </w:p>
    <w:p>
      <w:pPr>
        <w:numPr>
          <w:ilvl w:val="0"/>
          <w:numId w:val="0"/>
        </w:numPr>
        <w:tabs>
          <w:tab w:val="left" w:pos="7253"/>
        </w:tabs>
        <w:jc w:val="left"/>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三、专业方向与培养计划</w:t>
      </w:r>
    </w:p>
    <w:p>
      <w:pPr>
        <w:ind w:firstLine="480" w:firstLineChars="200"/>
        <w:jc w:val="both"/>
        <w:rPr>
          <w:rFonts w:hint="eastAsia" w:ascii="仿宋" w:hAnsi="仿宋" w:eastAsia="仿宋" w:cs="仿宋"/>
          <w:sz w:val="24"/>
          <w:szCs w:val="24"/>
          <w:lang w:eastAsia="zh-CN"/>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法学</w:t>
      </w:r>
      <w:r>
        <w:rPr>
          <w:rFonts w:hint="eastAsia" w:ascii="仿宋" w:hAnsi="仿宋" w:eastAsia="仿宋" w:cs="仿宋"/>
          <w:sz w:val="24"/>
          <w:szCs w:val="24"/>
          <w:u w:val="single"/>
        </w:rPr>
        <w:t xml:space="preserve">  </w:t>
      </w:r>
      <w:r>
        <w:rPr>
          <w:rFonts w:hint="eastAsia" w:ascii="仿宋" w:hAnsi="仿宋" w:eastAsia="仿宋" w:cs="仿宋"/>
          <w:sz w:val="24"/>
          <w:szCs w:val="24"/>
        </w:rPr>
        <w:t>专业</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法学类</w:t>
      </w:r>
      <w:r>
        <w:rPr>
          <w:rFonts w:hint="eastAsia" w:ascii="仿宋" w:hAnsi="仿宋" w:eastAsia="仿宋" w:cs="仿宋"/>
          <w:sz w:val="24"/>
          <w:szCs w:val="24"/>
          <w:lang w:eastAsia="zh-CN"/>
        </w:rPr>
        <w:t>）</w:t>
      </w:r>
    </w:p>
    <w:p>
      <w:pPr>
        <w:keepNext w:val="0"/>
        <w:keepLines w:val="0"/>
        <w:pageBreakBefore w:val="0"/>
        <w:widowControl w:val="0"/>
        <w:numPr>
          <w:ilvl w:val="0"/>
          <w:numId w:val="1"/>
        </w:numPr>
        <w:tabs>
          <w:tab w:val="left" w:pos="7253"/>
        </w:tabs>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宪法学与行政法学：宪法学、行政法学、经济宪政与经济行政法</w:t>
      </w:r>
    </w:p>
    <w:p>
      <w:pPr>
        <w:keepNext w:val="0"/>
        <w:keepLines w:val="0"/>
        <w:pageBreakBefore w:val="0"/>
        <w:widowControl w:val="0"/>
        <w:numPr>
          <w:ilvl w:val="0"/>
          <w:numId w:val="1"/>
        </w:numPr>
        <w:tabs>
          <w:tab w:val="left" w:pos="7253"/>
        </w:tabs>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刑法学：经济刑法、环境刑法、中国刑法、国家刑法</w:t>
      </w:r>
    </w:p>
    <w:p>
      <w:pPr>
        <w:keepNext w:val="0"/>
        <w:keepLines w:val="0"/>
        <w:pageBreakBefore w:val="0"/>
        <w:widowControl w:val="0"/>
        <w:numPr>
          <w:ilvl w:val="0"/>
          <w:numId w:val="1"/>
        </w:numPr>
        <w:tabs>
          <w:tab w:val="left" w:pos="7253"/>
        </w:tabs>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民商法学：民法商法、知识产权法、商事法务会计</w:t>
      </w:r>
    </w:p>
    <w:p>
      <w:pPr>
        <w:keepNext w:val="0"/>
        <w:keepLines w:val="0"/>
        <w:pageBreakBefore w:val="0"/>
        <w:widowControl w:val="0"/>
        <w:numPr>
          <w:ilvl w:val="0"/>
          <w:numId w:val="1"/>
        </w:numPr>
        <w:tabs>
          <w:tab w:val="left" w:pos="7253"/>
        </w:tabs>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诉讼法学：民事诉讼法、刑事诉讼法、行政诉讼法、司法制度、证据法学</w:t>
      </w:r>
    </w:p>
    <w:p>
      <w:pPr>
        <w:keepNext w:val="0"/>
        <w:keepLines w:val="0"/>
        <w:pageBreakBefore w:val="0"/>
        <w:widowControl w:val="0"/>
        <w:numPr>
          <w:ilvl w:val="0"/>
          <w:numId w:val="1"/>
        </w:numPr>
        <w:tabs>
          <w:tab w:val="left" w:pos="7253"/>
        </w:tabs>
        <w:kinsoku/>
        <w:wordWrap/>
        <w:overflowPunct/>
        <w:topLinePunct w:val="0"/>
        <w:autoSpaceDE/>
        <w:autoSpaceDN/>
        <w:bidi w:val="0"/>
        <w:adjustRightInd/>
        <w:snapToGrid/>
        <w:spacing w:line="480" w:lineRule="exact"/>
        <w:ind w:left="0" w:leftChars="0" w:firstLine="480" w:firstLineChars="20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经济法学：经济法基础理论、市场规制法、宏观调控法、劳动与社会保障法、环境与资源保护法</w:t>
      </w:r>
    </w:p>
    <w:p>
      <w:pPr>
        <w:ind w:firstLine="480" w:firstLineChars="200"/>
        <w:jc w:val="both"/>
        <w:rPr>
          <w:rFonts w:hint="eastAsia" w:ascii="仿宋" w:hAnsi="仿宋" w:eastAsia="仿宋" w:cs="仿宋"/>
          <w:sz w:val="24"/>
          <w:szCs w:val="24"/>
          <w:lang w:eastAsia="zh-CN"/>
        </w:rPr>
      </w:pPr>
    </w:p>
    <w:tbl>
      <w:tblPr>
        <w:tblStyle w:val="2"/>
        <w:tblpPr w:leftFromText="180" w:rightFromText="180" w:vertAnchor="text" w:horzAnchor="page" w:tblpXSpec="center" w:tblpY="45"/>
        <w:tblOverlap w:val="never"/>
        <w:tblW w:w="833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32"/>
        <w:gridCol w:w="3678"/>
        <w:gridCol w:w="996"/>
        <w:gridCol w:w="143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38" w:hRule="atLeast"/>
          <w:jc w:val="center"/>
        </w:trPr>
        <w:tc>
          <w:tcPr>
            <w:tcW w:w="2232" w:type="dxa"/>
            <w:vMerge w:val="restart"/>
            <w:noWrap w:val="0"/>
            <w:vAlign w:val="center"/>
          </w:tcPr>
          <w:p>
            <w:pPr>
              <w:spacing w:line="0" w:lineRule="atLeast"/>
              <w:jc w:val="center"/>
              <w:rPr>
                <w:rFonts w:hint="eastAsia" w:ascii="仿宋" w:hAnsi="仿宋" w:eastAsia="仿宋" w:cs="仿宋"/>
                <w:sz w:val="22"/>
                <w:szCs w:val="22"/>
                <w:lang w:val="en-US" w:eastAsia="zh-CN"/>
              </w:rPr>
            </w:pPr>
            <w:r>
              <w:rPr>
                <w:rFonts w:hint="eastAsia" w:ascii="仿宋" w:hAnsi="仿宋" w:eastAsia="仿宋" w:cs="仿宋"/>
                <w:sz w:val="22"/>
                <w:szCs w:val="22"/>
              </w:rPr>
              <w:t xml:space="preserve">课 程 </w:t>
            </w:r>
            <w:r>
              <w:rPr>
                <w:rFonts w:hint="eastAsia" w:ascii="仿宋" w:hAnsi="仿宋" w:eastAsia="仿宋" w:cs="仿宋"/>
                <w:sz w:val="22"/>
                <w:szCs w:val="22"/>
                <w:lang w:val="en-US" w:eastAsia="zh-CN"/>
              </w:rPr>
              <w:t>类 别</w:t>
            </w:r>
          </w:p>
        </w:tc>
        <w:tc>
          <w:tcPr>
            <w:tcW w:w="3678" w:type="dxa"/>
            <w:vMerge w:val="restart"/>
            <w:noWrap w:val="0"/>
            <w:vAlign w:val="center"/>
          </w:tcPr>
          <w:p>
            <w:pPr>
              <w:spacing w:line="0" w:lineRule="atLeast"/>
              <w:jc w:val="center"/>
              <w:rPr>
                <w:rFonts w:hint="eastAsia" w:ascii="仿宋" w:hAnsi="仿宋" w:eastAsia="仿宋" w:cs="仿宋"/>
                <w:sz w:val="22"/>
                <w:szCs w:val="22"/>
              </w:rPr>
            </w:pPr>
            <w:r>
              <w:rPr>
                <w:rFonts w:hint="eastAsia" w:ascii="仿宋" w:hAnsi="仿宋" w:eastAsia="仿宋" w:cs="仿宋"/>
                <w:sz w:val="22"/>
                <w:szCs w:val="22"/>
              </w:rPr>
              <w:t>课 程 名 称</w:t>
            </w:r>
          </w:p>
        </w:tc>
        <w:tc>
          <w:tcPr>
            <w:tcW w:w="996" w:type="dxa"/>
            <w:vMerge w:val="restart"/>
            <w:noWrap w:val="0"/>
            <w:vAlign w:val="center"/>
          </w:tcPr>
          <w:p>
            <w:pPr>
              <w:spacing w:line="0" w:lineRule="atLeast"/>
              <w:jc w:val="center"/>
              <w:rPr>
                <w:rFonts w:hint="eastAsia" w:ascii="仿宋" w:hAnsi="仿宋" w:eastAsia="仿宋" w:cs="仿宋"/>
                <w:sz w:val="22"/>
                <w:szCs w:val="22"/>
              </w:rPr>
            </w:pPr>
            <w:r>
              <w:rPr>
                <w:rFonts w:hint="eastAsia" w:ascii="仿宋" w:hAnsi="仿宋" w:eastAsia="仿宋" w:cs="仿宋"/>
                <w:sz w:val="22"/>
                <w:szCs w:val="22"/>
              </w:rPr>
              <w:t>学分</w:t>
            </w:r>
          </w:p>
        </w:tc>
        <w:tc>
          <w:tcPr>
            <w:tcW w:w="1433" w:type="dxa"/>
            <w:vMerge w:val="restart"/>
            <w:noWrap w:val="0"/>
            <w:vAlign w:val="center"/>
          </w:tcPr>
          <w:p>
            <w:pPr>
              <w:spacing w:line="0" w:lineRule="atLeas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授课方式</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95" w:hRule="atLeast"/>
          <w:jc w:val="center"/>
        </w:trPr>
        <w:tc>
          <w:tcPr>
            <w:tcW w:w="2232" w:type="dxa"/>
            <w:vMerge w:val="continue"/>
            <w:noWrap w:val="0"/>
            <w:vAlign w:val="center"/>
          </w:tcPr>
          <w:p>
            <w:pPr>
              <w:spacing w:line="0" w:lineRule="atLeast"/>
              <w:jc w:val="center"/>
              <w:rPr>
                <w:rFonts w:hint="eastAsia" w:ascii="仿宋" w:hAnsi="仿宋" w:eastAsia="仿宋" w:cs="仿宋"/>
                <w:sz w:val="22"/>
                <w:szCs w:val="22"/>
              </w:rPr>
            </w:pPr>
          </w:p>
        </w:tc>
        <w:tc>
          <w:tcPr>
            <w:tcW w:w="3678" w:type="dxa"/>
            <w:vMerge w:val="continue"/>
            <w:noWrap w:val="0"/>
            <w:vAlign w:val="center"/>
          </w:tcPr>
          <w:p>
            <w:pPr>
              <w:spacing w:line="0" w:lineRule="atLeast"/>
              <w:jc w:val="center"/>
              <w:rPr>
                <w:rFonts w:hint="eastAsia" w:ascii="仿宋" w:hAnsi="仿宋" w:eastAsia="仿宋" w:cs="仿宋"/>
                <w:sz w:val="22"/>
                <w:szCs w:val="22"/>
              </w:rPr>
            </w:pPr>
          </w:p>
        </w:tc>
        <w:tc>
          <w:tcPr>
            <w:tcW w:w="996" w:type="dxa"/>
            <w:vMerge w:val="continue"/>
            <w:noWrap w:val="0"/>
            <w:vAlign w:val="center"/>
          </w:tcPr>
          <w:p>
            <w:pPr>
              <w:spacing w:line="0" w:lineRule="atLeast"/>
              <w:jc w:val="center"/>
              <w:rPr>
                <w:rFonts w:hint="eastAsia" w:ascii="仿宋" w:hAnsi="仿宋" w:eastAsia="仿宋" w:cs="仿宋"/>
                <w:sz w:val="22"/>
                <w:szCs w:val="22"/>
              </w:rPr>
            </w:pPr>
          </w:p>
        </w:tc>
        <w:tc>
          <w:tcPr>
            <w:tcW w:w="1433" w:type="dxa"/>
            <w:vMerge w:val="continue"/>
            <w:noWrap w:val="0"/>
            <w:vAlign w:val="center"/>
          </w:tcPr>
          <w:p>
            <w:pPr>
              <w:spacing w:line="0" w:lineRule="atLeas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78" w:hRule="exact"/>
          <w:jc w:val="center"/>
        </w:trPr>
        <w:tc>
          <w:tcPr>
            <w:tcW w:w="2232" w:type="dxa"/>
            <w:vMerge w:val="restart"/>
            <w:tcBorders>
              <w:right w:val="single" w:color="auto" w:sz="4" w:space="0"/>
            </w:tcBorders>
            <w:noWrap w:val="0"/>
            <w:vAlign w:val="center"/>
          </w:tcPr>
          <w:p>
            <w:pPr>
              <w:spacing w:line="0" w:lineRule="atLeas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公共课</w:t>
            </w:r>
          </w:p>
        </w:tc>
        <w:tc>
          <w:tcPr>
            <w:tcW w:w="3678" w:type="dxa"/>
            <w:noWrap w:val="0"/>
            <w:vAlign w:val="center"/>
          </w:tcPr>
          <w:p>
            <w:pPr>
              <w:jc w:val="center"/>
              <w:rPr>
                <w:rFonts w:hint="eastAsia" w:ascii="仿宋" w:hAnsi="仿宋" w:eastAsia="仿宋" w:cs="仿宋"/>
                <w:sz w:val="22"/>
                <w:szCs w:val="22"/>
              </w:rPr>
            </w:pPr>
            <w:r>
              <w:rPr>
                <w:rFonts w:hint="eastAsia" w:ascii="仿宋" w:hAnsi="仿宋" w:eastAsia="仿宋" w:cs="仿宋"/>
                <w:sz w:val="22"/>
                <w:szCs w:val="22"/>
              </w:rPr>
              <w:t>自然辩证法</w:t>
            </w:r>
          </w:p>
        </w:tc>
        <w:tc>
          <w:tcPr>
            <w:tcW w:w="996" w:type="dxa"/>
            <w:noWrap w:val="0"/>
            <w:vAlign w:val="center"/>
          </w:tcPr>
          <w:p>
            <w:pPr>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restart"/>
            <w:noWrap w:val="0"/>
            <w:vAlign w:val="center"/>
          </w:tcPr>
          <w:p>
            <w:pPr>
              <w:spacing w:line="360" w:lineRule="exact"/>
              <w:jc w:val="center"/>
              <w:rPr>
                <w:rFonts w:hint="eastAsia" w:ascii="仿宋" w:hAnsi="仿宋" w:eastAsia="仿宋" w:cs="仿宋"/>
                <w:sz w:val="22"/>
                <w:szCs w:val="22"/>
                <w:lang w:val="en-US"/>
              </w:rPr>
            </w:pPr>
            <w:r>
              <w:rPr>
                <w:rFonts w:hint="eastAsia" w:ascii="仿宋" w:hAnsi="仿宋" w:eastAsia="仿宋" w:cs="仿宋"/>
                <w:sz w:val="22"/>
                <w:szCs w:val="22"/>
                <w:lang w:val="en-US" w:eastAsia="zh-CN"/>
              </w:rPr>
              <w:t>线上</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50" w:hRule="exact"/>
          <w:jc w:val="center"/>
        </w:trPr>
        <w:tc>
          <w:tcPr>
            <w:tcW w:w="2232" w:type="dxa"/>
            <w:vMerge w:val="continue"/>
            <w:tcBorders>
              <w:right w:val="single" w:color="auto" w:sz="4" w:space="0"/>
            </w:tcBorders>
            <w:noWrap w:val="0"/>
            <w:vAlign w:val="center"/>
          </w:tcPr>
          <w:p>
            <w:pPr>
              <w:spacing w:line="0" w:lineRule="atLeast"/>
              <w:jc w:val="center"/>
              <w:rPr>
                <w:rFonts w:hint="eastAsia" w:ascii="仿宋" w:hAnsi="仿宋" w:eastAsia="仿宋" w:cs="仿宋"/>
                <w:sz w:val="22"/>
                <w:szCs w:val="22"/>
              </w:rPr>
            </w:pPr>
          </w:p>
        </w:tc>
        <w:tc>
          <w:tcPr>
            <w:tcW w:w="3678" w:type="dxa"/>
            <w:noWrap w:val="0"/>
            <w:vAlign w:val="center"/>
          </w:tcPr>
          <w:p>
            <w:pPr>
              <w:jc w:val="center"/>
              <w:rPr>
                <w:rFonts w:hint="eastAsia" w:ascii="仿宋" w:hAnsi="仿宋" w:eastAsia="仿宋" w:cs="仿宋"/>
                <w:sz w:val="22"/>
                <w:szCs w:val="22"/>
              </w:rPr>
            </w:pPr>
            <w:r>
              <w:rPr>
                <w:rFonts w:hint="eastAsia" w:ascii="仿宋" w:hAnsi="仿宋" w:eastAsia="仿宋" w:cs="仿宋"/>
                <w:sz w:val="22"/>
                <w:szCs w:val="22"/>
              </w:rPr>
              <w:t>科学社会主义理论与实践</w:t>
            </w:r>
          </w:p>
        </w:tc>
        <w:tc>
          <w:tcPr>
            <w:tcW w:w="996" w:type="dxa"/>
            <w:noWrap w:val="0"/>
            <w:vAlign w:val="center"/>
          </w:tcPr>
          <w:p>
            <w:pPr>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noWrap w:val="0"/>
            <w:vAlign w:val="center"/>
          </w:tcPr>
          <w:p>
            <w:pPr>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51" w:hRule="exact"/>
          <w:jc w:val="center"/>
        </w:trPr>
        <w:tc>
          <w:tcPr>
            <w:tcW w:w="2232" w:type="dxa"/>
            <w:vMerge w:val="continue"/>
            <w:tcBorders>
              <w:right w:val="single" w:color="auto" w:sz="4" w:space="0"/>
            </w:tcBorders>
            <w:noWrap w:val="0"/>
            <w:vAlign w:val="center"/>
          </w:tcPr>
          <w:p>
            <w:pPr>
              <w:spacing w:line="0" w:lineRule="atLeast"/>
              <w:jc w:val="center"/>
              <w:rPr>
                <w:rFonts w:hint="eastAsia" w:ascii="仿宋" w:hAnsi="仿宋" w:eastAsia="仿宋" w:cs="仿宋"/>
                <w:sz w:val="22"/>
                <w:szCs w:val="22"/>
              </w:rPr>
            </w:pPr>
          </w:p>
        </w:tc>
        <w:tc>
          <w:tcPr>
            <w:tcW w:w="3678" w:type="dxa"/>
            <w:tcBorders>
              <w:bottom w:val="single" w:color="auto" w:sz="4" w:space="0"/>
            </w:tcBorders>
            <w:noWrap w:val="0"/>
            <w:vAlign w:val="center"/>
          </w:tcPr>
          <w:p>
            <w:pPr>
              <w:jc w:val="center"/>
              <w:rPr>
                <w:rFonts w:hint="eastAsia" w:ascii="仿宋" w:hAnsi="仿宋" w:eastAsia="仿宋" w:cs="仿宋"/>
                <w:sz w:val="22"/>
                <w:szCs w:val="22"/>
              </w:rPr>
            </w:pPr>
            <w:r>
              <w:rPr>
                <w:rFonts w:hint="eastAsia" w:ascii="仿宋" w:hAnsi="仿宋" w:eastAsia="仿宋" w:cs="仿宋"/>
                <w:sz w:val="22"/>
                <w:szCs w:val="22"/>
              </w:rPr>
              <w:t>公共英语（精读、听说）</w:t>
            </w:r>
          </w:p>
        </w:tc>
        <w:tc>
          <w:tcPr>
            <w:tcW w:w="996" w:type="dxa"/>
            <w:noWrap w:val="0"/>
            <w:vAlign w:val="center"/>
          </w:tcPr>
          <w:p>
            <w:pPr>
              <w:jc w:val="center"/>
              <w:rPr>
                <w:rFonts w:hint="eastAsia" w:ascii="仿宋" w:hAnsi="仿宋" w:eastAsia="仿宋" w:cs="仿宋"/>
                <w:sz w:val="22"/>
                <w:szCs w:val="22"/>
              </w:rPr>
            </w:pPr>
            <w:r>
              <w:rPr>
                <w:rFonts w:hint="eastAsia" w:ascii="仿宋" w:hAnsi="仿宋" w:eastAsia="仿宋" w:cs="仿宋"/>
                <w:sz w:val="22"/>
                <w:szCs w:val="22"/>
              </w:rPr>
              <w:t>4</w:t>
            </w:r>
          </w:p>
        </w:tc>
        <w:tc>
          <w:tcPr>
            <w:tcW w:w="1433" w:type="dxa"/>
            <w:vMerge w:val="continue"/>
            <w:noWrap w:val="0"/>
            <w:vAlign w:val="center"/>
          </w:tcPr>
          <w:p>
            <w:pPr>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61" w:hRule="exact"/>
          <w:jc w:val="center"/>
        </w:trPr>
        <w:tc>
          <w:tcPr>
            <w:tcW w:w="2232" w:type="dxa"/>
            <w:vMerge w:val="restart"/>
            <w:tcBorders>
              <w:right w:val="single" w:color="auto" w:sz="4" w:space="0"/>
            </w:tcBorders>
            <w:shd w:val="clear" w:color="auto" w:fill="auto"/>
            <w:noWrap w:val="0"/>
            <w:vAlign w:val="center"/>
          </w:tcPr>
          <w:p>
            <w:pPr>
              <w:spacing w:line="0" w:lineRule="atLeas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必修课</w:t>
            </w:r>
          </w:p>
        </w:tc>
        <w:tc>
          <w:tcPr>
            <w:tcW w:w="3678" w:type="dxa"/>
            <w:tcBorders>
              <w:top w:val="single" w:color="auto" w:sz="4" w:space="0"/>
              <w:bottom w:val="single" w:color="auto" w:sz="4" w:space="0"/>
            </w:tcBorders>
            <w:shd w:val="clear" w:color="auto" w:fill="auto"/>
            <w:noWrap w:val="0"/>
            <w:vAlign w:val="center"/>
          </w:tcPr>
          <w:p>
            <w:pPr>
              <w:numPr>
                <w:ilvl w:val="0"/>
                <w:numId w:val="0"/>
              </w:numPr>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val="en-US" w:eastAsia="zh-CN"/>
              </w:rPr>
              <w:t>民法与民事诉讼原理与实务</w:t>
            </w:r>
          </w:p>
        </w:tc>
        <w:tc>
          <w:tcPr>
            <w:tcW w:w="996" w:type="dxa"/>
            <w:tcBorders>
              <w:bottom w:val="single" w:color="auto" w:sz="4" w:space="0"/>
            </w:tcBorders>
            <w:shd w:val="clear" w:color="auto" w:fill="auto"/>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3</w:t>
            </w:r>
          </w:p>
        </w:tc>
        <w:tc>
          <w:tcPr>
            <w:tcW w:w="1433" w:type="dxa"/>
            <w:vMerge w:val="continue"/>
            <w:shd w:val="clear" w:color="auto" w:fill="auto"/>
            <w:noWrap w:val="0"/>
            <w:vAlign w:val="center"/>
          </w:tcPr>
          <w:p>
            <w:pPr>
              <w:spacing w:line="360" w:lineRule="exac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09" w:hRule="exact"/>
          <w:jc w:val="center"/>
        </w:trPr>
        <w:tc>
          <w:tcPr>
            <w:tcW w:w="2232" w:type="dxa"/>
            <w:vMerge w:val="continue"/>
            <w:tcBorders>
              <w:right w:val="single" w:color="auto" w:sz="4" w:space="0"/>
            </w:tcBorders>
            <w:shd w:val="clear" w:color="auto" w:fill="auto"/>
            <w:noWrap w:val="0"/>
            <w:vAlign w:val="center"/>
          </w:tcPr>
          <w:p>
            <w:pPr>
              <w:spacing w:line="0" w:lineRule="atLeast"/>
              <w:jc w:val="center"/>
              <w:rPr>
                <w:rFonts w:hint="eastAsia" w:ascii="仿宋" w:hAnsi="仿宋" w:eastAsia="仿宋" w:cs="仿宋"/>
                <w:sz w:val="22"/>
                <w:szCs w:val="22"/>
              </w:rPr>
            </w:pPr>
          </w:p>
        </w:tc>
        <w:tc>
          <w:tcPr>
            <w:tcW w:w="3678" w:type="dxa"/>
            <w:tcBorders>
              <w:top w:val="single" w:color="auto" w:sz="4" w:space="0"/>
              <w:bottom w:val="single" w:color="auto" w:sz="4" w:space="0"/>
            </w:tcBorders>
            <w:shd w:val="clear" w:color="auto" w:fill="auto"/>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val="en-US" w:eastAsia="zh-CN"/>
              </w:rPr>
              <w:t>刑法与刑事诉讼原理与实务</w:t>
            </w:r>
          </w:p>
        </w:tc>
        <w:tc>
          <w:tcPr>
            <w:tcW w:w="996" w:type="dxa"/>
            <w:tcBorders>
              <w:top w:val="single" w:color="auto" w:sz="4" w:space="0"/>
              <w:bottom w:val="single" w:color="auto" w:sz="4" w:space="0"/>
            </w:tcBorders>
            <w:shd w:val="clear" w:color="auto" w:fill="auto"/>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3</w:t>
            </w:r>
          </w:p>
        </w:tc>
        <w:tc>
          <w:tcPr>
            <w:tcW w:w="1433" w:type="dxa"/>
            <w:vMerge w:val="continue"/>
            <w:shd w:val="clear" w:color="auto" w:fill="auto"/>
            <w:noWrap w:val="0"/>
            <w:vAlign w:val="center"/>
          </w:tcPr>
          <w:p>
            <w:pPr>
              <w:spacing w:line="360" w:lineRule="exac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0" w:hRule="exact"/>
          <w:jc w:val="center"/>
        </w:trPr>
        <w:tc>
          <w:tcPr>
            <w:tcW w:w="2232" w:type="dxa"/>
            <w:vMerge w:val="continue"/>
            <w:tcBorders>
              <w:right w:val="single" w:color="auto" w:sz="4" w:space="0"/>
            </w:tcBorders>
            <w:shd w:val="clear" w:color="auto" w:fill="auto"/>
            <w:noWrap w:val="0"/>
            <w:vAlign w:val="center"/>
          </w:tcPr>
          <w:p>
            <w:pPr>
              <w:spacing w:line="0" w:lineRule="atLeast"/>
              <w:jc w:val="center"/>
              <w:rPr>
                <w:rFonts w:hint="eastAsia" w:ascii="仿宋" w:hAnsi="仿宋" w:eastAsia="仿宋" w:cs="仿宋"/>
                <w:sz w:val="22"/>
                <w:szCs w:val="22"/>
              </w:rPr>
            </w:pPr>
          </w:p>
        </w:tc>
        <w:tc>
          <w:tcPr>
            <w:tcW w:w="3678" w:type="dxa"/>
            <w:tcBorders>
              <w:top w:val="single" w:color="auto" w:sz="4" w:space="0"/>
              <w:bottom w:val="single" w:color="auto" w:sz="4" w:space="0"/>
            </w:tcBorders>
            <w:shd w:val="clear" w:color="auto" w:fill="auto"/>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val="en-US" w:eastAsia="zh-CN"/>
              </w:rPr>
              <w:t>行政法语行政诉讼原理与实务</w:t>
            </w:r>
          </w:p>
        </w:tc>
        <w:tc>
          <w:tcPr>
            <w:tcW w:w="996" w:type="dxa"/>
            <w:tcBorders>
              <w:top w:val="single" w:color="auto" w:sz="4" w:space="0"/>
              <w:bottom w:val="single" w:color="auto" w:sz="4" w:space="0"/>
            </w:tcBorders>
            <w:shd w:val="clear" w:color="auto" w:fill="auto"/>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shd w:val="clear" w:color="auto" w:fill="auto"/>
            <w:noWrap w:val="0"/>
            <w:vAlign w:val="center"/>
          </w:tcPr>
          <w:p>
            <w:pPr>
              <w:spacing w:line="360" w:lineRule="exac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80" w:hRule="exact"/>
          <w:jc w:val="center"/>
        </w:trPr>
        <w:tc>
          <w:tcPr>
            <w:tcW w:w="2232" w:type="dxa"/>
            <w:vMerge w:val="continue"/>
            <w:tcBorders>
              <w:right w:val="single" w:color="auto" w:sz="4" w:space="0"/>
            </w:tcBorders>
            <w:shd w:val="clear" w:color="auto" w:fill="auto"/>
            <w:noWrap w:val="0"/>
            <w:vAlign w:val="center"/>
          </w:tcPr>
          <w:p>
            <w:pPr>
              <w:spacing w:line="0" w:lineRule="atLeast"/>
              <w:jc w:val="center"/>
              <w:rPr>
                <w:rFonts w:hint="eastAsia" w:ascii="仿宋" w:hAnsi="仿宋" w:eastAsia="仿宋" w:cs="仿宋"/>
                <w:sz w:val="22"/>
                <w:szCs w:val="22"/>
              </w:rPr>
            </w:pPr>
          </w:p>
        </w:tc>
        <w:tc>
          <w:tcPr>
            <w:tcW w:w="3678" w:type="dxa"/>
            <w:tcBorders>
              <w:top w:val="single" w:color="auto" w:sz="4" w:space="0"/>
              <w:bottom w:val="single" w:color="auto" w:sz="4" w:space="0"/>
            </w:tcBorders>
            <w:shd w:val="clear" w:color="auto" w:fill="auto"/>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val="en-US" w:eastAsia="zh-CN"/>
              </w:rPr>
              <w:t>法律职业伦理</w:t>
            </w:r>
          </w:p>
        </w:tc>
        <w:tc>
          <w:tcPr>
            <w:tcW w:w="996" w:type="dxa"/>
            <w:tcBorders>
              <w:top w:val="single" w:color="auto" w:sz="4" w:space="0"/>
              <w:bottom w:val="single" w:color="auto" w:sz="4" w:space="0"/>
            </w:tcBorders>
            <w:shd w:val="clear" w:color="auto" w:fill="auto"/>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shd w:val="clear" w:color="auto" w:fill="auto"/>
            <w:noWrap w:val="0"/>
            <w:vAlign w:val="center"/>
          </w:tcPr>
          <w:p>
            <w:pPr>
              <w:spacing w:line="360" w:lineRule="exac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43" w:hRule="exact"/>
          <w:jc w:val="center"/>
        </w:trPr>
        <w:tc>
          <w:tcPr>
            <w:tcW w:w="2232" w:type="dxa"/>
            <w:vMerge w:val="restart"/>
            <w:tcBorders>
              <w:right w:val="single" w:color="auto" w:sz="4" w:space="0"/>
            </w:tcBorders>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选修课</w:t>
            </w:r>
          </w:p>
        </w:tc>
        <w:tc>
          <w:tcPr>
            <w:tcW w:w="3678" w:type="dxa"/>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eastAsia="zh-CN"/>
              </w:rPr>
              <w:t>法理学专题</w:t>
            </w:r>
          </w:p>
        </w:tc>
        <w:tc>
          <w:tcPr>
            <w:tcW w:w="996" w:type="dxa"/>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noWrap w:val="0"/>
            <w:vAlign w:val="center"/>
          </w:tcPr>
          <w:p>
            <w:pPr>
              <w:spacing w:line="360" w:lineRule="exac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66" w:hRule="exact"/>
          <w:jc w:val="center"/>
        </w:trPr>
        <w:tc>
          <w:tcPr>
            <w:tcW w:w="2232" w:type="dxa"/>
            <w:vMerge w:val="continue"/>
            <w:tcBorders>
              <w:right w:val="single" w:color="auto" w:sz="4" w:space="0"/>
            </w:tcBorders>
            <w:noWrap w:val="0"/>
            <w:vAlign w:val="center"/>
          </w:tcPr>
          <w:p>
            <w:pPr>
              <w:spacing w:line="360" w:lineRule="exact"/>
              <w:jc w:val="center"/>
              <w:rPr>
                <w:rFonts w:hint="eastAsia" w:ascii="仿宋" w:hAnsi="仿宋" w:eastAsia="仿宋" w:cs="仿宋"/>
                <w:sz w:val="22"/>
                <w:szCs w:val="22"/>
                <w:lang w:val="en-US" w:eastAsia="zh-CN"/>
              </w:rPr>
            </w:pPr>
          </w:p>
        </w:tc>
        <w:tc>
          <w:tcPr>
            <w:tcW w:w="3678" w:type="dxa"/>
            <w:tcBorders>
              <w:bottom w:val="single" w:color="auto" w:sz="4" w:space="0"/>
            </w:tcBorders>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val="en-US" w:eastAsia="zh-CN"/>
              </w:rPr>
              <w:t>宪法学专题</w:t>
            </w:r>
          </w:p>
        </w:tc>
        <w:tc>
          <w:tcPr>
            <w:tcW w:w="996" w:type="dxa"/>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noWrap w:val="0"/>
            <w:vAlign w:val="center"/>
          </w:tcPr>
          <w:p>
            <w:pPr>
              <w:spacing w:line="360" w:lineRule="exac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73" w:hRule="exact"/>
          <w:jc w:val="center"/>
        </w:trPr>
        <w:tc>
          <w:tcPr>
            <w:tcW w:w="2232" w:type="dxa"/>
            <w:vMerge w:val="continue"/>
            <w:tcBorders>
              <w:right w:val="single" w:color="auto" w:sz="4" w:space="0"/>
            </w:tcBorders>
            <w:noWrap w:val="0"/>
            <w:vAlign w:val="center"/>
          </w:tcPr>
          <w:p>
            <w:pPr>
              <w:spacing w:line="0" w:lineRule="atLeast"/>
              <w:jc w:val="center"/>
              <w:rPr>
                <w:rFonts w:hint="eastAsia" w:ascii="仿宋" w:hAnsi="仿宋" w:eastAsia="仿宋" w:cs="仿宋"/>
                <w:sz w:val="22"/>
                <w:szCs w:val="22"/>
              </w:rPr>
            </w:pPr>
          </w:p>
        </w:tc>
        <w:tc>
          <w:tcPr>
            <w:tcW w:w="3678" w:type="dxa"/>
            <w:tcBorders>
              <w:top w:val="single" w:color="auto" w:sz="4" w:space="0"/>
              <w:bottom w:val="single" w:color="auto" w:sz="4" w:space="0"/>
            </w:tcBorders>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val="en-US" w:eastAsia="zh-CN"/>
              </w:rPr>
              <w:t>中国法制史专题</w:t>
            </w:r>
          </w:p>
        </w:tc>
        <w:tc>
          <w:tcPr>
            <w:tcW w:w="996" w:type="dxa"/>
            <w:tcBorders>
              <w:bottom w:val="single" w:color="auto" w:sz="4" w:space="0"/>
            </w:tcBorders>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noWrap w:val="0"/>
            <w:vAlign w:val="center"/>
          </w:tcPr>
          <w:p>
            <w:pPr>
              <w:spacing w:line="360" w:lineRule="exac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91" w:hRule="exact"/>
          <w:jc w:val="center"/>
        </w:trPr>
        <w:tc>
          <w:tcPr>
            <w:tcW w:w="2232" w:type="dxa"/>
            <w:vMerge w:val="continue"/>
            <w:tcBorders>
              <w:right w:val="single" w:color="auto" w:sz="4" w:space="0"/>
            </w:tcBorders>
            <w:noWrap w:val="0"/>
            <w:vAlign w:val="center"/>
          </w:tcPr>
          <w:p>
            <w:pPr>
              <w:spacing w:line="0" w:lineRule="atLeast"/>
              <w:jc w:val="center"/>
              <w:rPr>
                <w:rFonts w:hint="eastAsia" w:ascii="仿宋" w:hAnsi="仿宋" w:eastAsia="仿宋" w:cs="仿宋"/>
                <w:sz w:val="22"/>
                <w:szCs w:val="22"/>
              </w:rPr>
            </w:pPr>
          </w:p>
        </w:tc>
        <w:tc>
          <w:tcPr>
            <w:tcW w:w="3678" w:type="dxa"/>
            <w:tcBorders>
              <w:top w:val="single" w:color="auto" w:sz="4" w:space="0"/>
            </w:tcBorders>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vertAlign w:val="baseline"/>
                <w:lang w:val="en-US" w:eastAsia="zh-CN"/>
              </w:rPr>
              <w:t>经济法专题</w:t>
            </w:r>
          </w:p>
        </w:tc>
        <w:tc>
          <w:tcPr>
            <w:tcW w:w="996" w:type="dxa"/>
            <w:tcBorders>
              <w:top w:val="single" w:color="auto" w:sz="4" w:space="0"/>
            </w:tcBorders>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noWrap w:val="0"/>
            <w:vAlign w:val="center"/>
          </w:tcPr>
          <w:p>
            <w:pPr>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336" w:hRule="exact"/>
          <w:jc w:val="center"/>
        </w:trPr>
        <w:tc>
          <w:tcPr>
            <w:tcW w:w="2232" w:type="dxa"/>
            <w:vMerge w:val="continue"/>
            <w:tcBorders>
              <w:right w:val="single" w:color="auto" w:sz="4" w:space="0"/>
            </w:tcBorders>
            <w:noWrap w:val="0"/>
            <w:vAlign w:val="center"/>
          </w:tcPr>
          <w:p>
            <w:pPr>
              <w:spacing w:line="360" w:lineRule="exact"/>
              <w:ind w:firstLine="660" w:firstLineChars="300"/>
              <w:jc w:val="center"/>
              <w:rPr>
                <w:rFonts w:hint="eastAsia" w:ascii="仿宋" w:hAnsi="仿宋" w:eastAsia="仿宋" w:cs="仿宋"/>
                <w:sz w:val="22"/>
                <w:szCs w:val="22"/>
                <w:lang w:val="en-US" w:eastAsia="zh-CN"/>
              </w:rPr>
            </w:pPr>
          </w:p>
        </w:tc>
        <w:tc>
          <w:tcPr>
            <w:tcW w:w="3678" w:type="dxa"/>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val="en-US" w:eastAsia="zh-CN"/>
              </w:rPr>
              <w:t>国际法专题</w:t>
            </w:r>
          </w:p>
        </w:tc>
        <w:tc>
          <w:tcPr>
            <w:tcW w:w="996" w:type="dxa"/>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noWrap w:val="0"/>
            <w:vAlign w:val="center"/>
          </w:tcPr>
          <w:p>
            <w:pPr>
              <w:spacing w:line="360" w:lineRule="exac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07" w:hRule="exact"/>
          <w:jc w:val="center"/>
        </w:trPr>
        <w:tc>
          <w:tcPr>
            <w:tcW w:w="2232" w:type="dxa"/>
            <w:vMerge w:val="continue"/>
            <w:tcBorders>
              <w:right w:val="single" w:color="auto" w:sz="4" w:space="0"/>
            </w:tcBorders>
            <w:noWrap w:val="0"/>
            <w:vAlign w:val="center"/>
          </w:tcPr>
          <w:p>
            <w:pPr>
              <w:spacing w:line="360" w:lineRule="exact"/>
              <w:jc w:val="center"/>
              <w:rPr>
                <w:rFonts w:hint="eastAsia" w:ascii="仿宋" w:hAnsi="仿宋" w:eastAsia="仿宋" w:cs="仿宋"/>
                <w:sz w:val="22"/>
                <w:szCs w:val="22"/>
              </w:rPr>
            </w:pPr>
          </w:p>
        </w:tc>
        <w:tc>
          <w:tcPr>
            <w:tcW w:w="3678" w:type="dxa"/>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val="en-US" w:eastAsia="zh-CN"/>
              </w:rPr>
              <w:t>劳动与社会保障法专题</w:t>
            </w:r>
          </w:p>
        </w:tc>
        <w:tc>
          <w:tcPr>
            <w:tcW w:w="996" w:type="dxa"/>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noWrap w:val="0"/>
            <w:vAlign w:val="center"/>
          </w:tcPr>
          <w:p>
            <w:pPr>
              <w:spacing w:line="360" w:lineRule="exact"/>
              <w:jc w:val="center"/>
              <w:rPr>
                <w:rFonts w:hint="eastAsia" w:ascii="仿宋" w:hAnsi="仿宋" w:eastAsia="仿宋" w:cs="仿宋"/>
                <w:sz w:val="22"/>
                <w:szCs w:val="22"/>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20" w:hRule="exact"/>
          <w:jc w:val="center"/>
        </w:trPr>
        <w:tc>
          <w:tcPr>
            <w:tcW w:w="2232" w:type="dxa"/>
            <w:vMerge w:val="continue"/>
            <w:tcBorders>
              <w:right w:val="single" w:color="auto" w:sz="4" w:space="0"/>
            </w:tcBorders>
            <w:noWrap w:val="0"/>
            <w:vAlign w:val="center"/>
          </w:tcPr>
          <w:p>
            <w:pPr>
              <w:spacing w:line="360" w:lineRule="exact"/>
              <w:jc w:val="center"/>
              <w:rPr>
                <w:rFonts w:hint="eastAsia" w:ascii="仿宋" w:hAnsi="仿宋" w:eastAsia="仿宋" w:cs="仿宋"/>
                <w:sz w:val="22"/>
                <w:szCs w:val="22"/>
              </w:rPr>
            </w:pPr>
          </w:p>
        </w:tc>
        <w:tc>
          <w:tcPr>
            <w:tcW w:w="3678" w:type="dxa"/>
            <w:noWrap w:val="0"/>
            <w:vAlign w:val="center"/>
          </w:tcPr>
          <w:p>
            <w:pPr>
              <w:spacing w:line="360" w:lineRule="exact"/>
              <w:jc w:val="center"/>
              <w:rPr>
                <w:rFonts w:hint="eastAsia" w:ascii="仿宋" w:hAnsi="仿宋" w:eastAsia="仿宋" w:cs="仿宋"/>
                <w:sz w:val="22"/>
                <w:szCs w:val="22"/>
                <w:lang w:val="en-US" w:eastAsia="zh-CN"/>
              </w:rPr>
            </w:pPr>
            <w:r>
              <w:rPr>
                <w:rFonts w:hint="eastAsia" w:ascii="仿宋" w:hAnsi="仿宋" w:eastAsia="仿宋" w:cs="仿宋"/>
                <w:sz w:val="22"/>
                <w:szCs w:val="22"/>
                <w:vertAlign w:val="baseline"/>
                <w:lang w:val="en-US" w:eastAsia="zh-CN"/>
              </w:rPr>
              <w:t>环境资源法专题</w:t>
            </w:r>
          </w:p>
        </w:tc>
        <w:tc>
          <w:tcPr>
            <w:tcW w:w="996" w:type="dxa"/>
            <w:noWrap w:val="0"/>
            <w:vAlign w:val="center"/>
          </w:tcPr>
          <w:p>
            <w:pPr>
              <w:spacing w:line="360" w:lineRule="exact"/>
              <w:jc w:val="center"/>
              <w:rPr>
                <w:rFonts w:hint="eastAsia" w:ascii="仿宋" w:hAnsi="仿宋" w:eastAsia="仿宋" w:cs="仿宋"/>
                <w:sz w:val="22"/>
                <w:szCs w:val="22"/>
              </w:rPr>
            </w:pPr>
            <w:r>
              <w:rPr>
                <w:rFonts w:hint="eastAsia" w:ascii="仿宋" w:hAnsi="仿宋" w:eastAsia="仿宋" w:cs="仿宋"/>
                <w:sz w:val="22"/>
                <w:szCs w:val="22"/>
              </w:rPr>
              <w:t>2</w:t>
            </w:r>
          </w:p>
        </w:tc>
        <w:tc>
          <w:tcPr>
            <w:tcW w:w="1433" w:type="dxa"/>
            <w:vMerge w:val="continue"/>
            <w:noWrap w:val="0"/>
            <w:vAlign w:val="center"/>
          </w:tcPr>
          <w:p>
            <w:pPr>
              <w:spacing w:line="360" w:lineRule="exact"/>
              <w:jc w:val="center"/>
              <w:rPr>
                <w:rFonts w:hint="eastAsia" w:ascii="仿宋" w:hAnsi="仿宋" w:eastAsia="仿宋" w:cs="仿宋"/>
                <w:sz w:val="22"/>
                <w:szCs w:val="22"/>
              </w:rPr>
            </w:pPr>
          </w:p>
        </w:tc>
      </w:tr>
    </w:tbl>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val="0"/>
          <w:sz w:val="24"/>
          <w:szCs w:val="24"/>
        </w:rPr>
        <w:t>课程设置以我校本专业现行硕士</w:t>
      </w:r>
      <w:r>
        <w:rPr>
          <w:rFonts w:hint="eastAsia" w:ascii="仿宋" w:hAnsi="仿宋" w:eastAsia="仿宋" w:cs="仿宋"/>
          <w:b w:val="0"/>
          <w:sz w:val="24"/>
          <w:szCs w:val="24"/>
          <w:lang w:val="en-US" w:eastAsia="zh-CN"/>
        </w:rPr>
        <w:t>研究</w:t>
      </w:r>
      <w:r>
        <w:rPr>
          <w:rFonts w:hint="eastAsia" w:ascii="仿宋" w:hAnsi="仿宋" w:eastAsia="仿宋" w:cs="仿宋"/>
          <w:b w:val="0"/>
          <w:sz w:val="24"/>
          <w:szCs w:val="24"/>
        </w:rPr>
        <w:t>生培养方</w:t>
      </w:r>
      <w:r>
        <w:rPr>
          <w:rFonts w:hint="eastAsia" w:ascii="仿宋" w:hAnsi="仿宋" w:eastAsia="仿宋" w:cs="仿宋"/>
          <w:b w:val="0"/>
          <w:sz w:val="24"/>
          <w:szCs w:val="24"/>
          <w:lang w:val="en-US" w:eastAsia="zh-CN"/>
        </w:rPr>
        <w:t>案</w:t>
      </w:r>
      <w:r>
        <w:rPr>
          <w:rFonts w:hint="eastAsia" w:ascii="仿宋" w:hAnsi="仿宋" w:eastAsia="仿宋" w:cs="仿宋"/>
          <w:b w:val="0"/>
          <w:sz w:val="24"/>
          <w:szCs w:val="24"/>
        </w:rPr>
        <w:t>为基本依据。有公共课、</w:t>
      </w:r>
      <w:r>
        <w:rPr>
          <w:rFonts w:hint="eastAsia" w:ascii="仿宋" w:hAnsi="仿宋" w:eastAsia="仿宋" w:cs="仿宋"/>
          <w:b w:val="0"/>
          <w:sz w:val="24"/>
          <w:szCs w:val="24"/>
          <w:lang w:val="en-US" w:eastAsia="zh-CN"/>
        </w:rPr>
        <w:t>必修</w:t>
      </w:r>
      <w:r>
        <w:rPr>
          <w:rFonts w:hint="eastAsia" w:ascii="仿宋" w:hAnsi="仿宋" w:eastAsia="仿宋" w:cs="仿宋"/>
          <w:b w:val="0"/>
          <w:sz w:val="24"/>
          <w:szCs w:val="24"/>
        </w:rPr>
        <w:t>课、选修课三大类,总计共修</w:t>
      </w:r>
      <w:r>
        <w:rPr>
          <w:rFonts w:hint="eastAsia" w:ascii="仿宋" w:hAnsi="仿宋" w:eastAsia="仿宋" w:cs="仿宋"/>
          <w:b w:val="0"/>
          <w:sz w:val="24"/>
          <w:szCs w:val="24"/>
          <w:lang w:val="en-US" w:eastAsia="zh-CN"/>
        </w:rPr>
        <w:t>14</w:t>
      </w:r>
      <w:r>
        <w:rPr>
          <w:rFonts w:hint="eastAsia" w:ascii="仿宋" w:hAnsi="仿宋" w:eastAsia="仿宋" w:cs="仿宋"/>
          <w:b w:val="0"/>
          <w:sz w:val="24"/>
          <w:szCs w:val="24"/>
        </w:rPr>
        <w:t>门课,总学分数为3</w:t>
      </w:r>
      <w:r>
        <w:rPr>
          <w:rFonts w:hint="eastAsia" w:ascii="仿宋" w:hAnsi="仿宋" w:eastAsia="仿宋" w:cs="仿宋"/>
          <w:b w:val="0"/>
          <w:sz w:val="24"/>
          <w:szCs w:val="24"/>
          <w:lang w:val="en-US" w:eastAsia="zh-CN"/>
        </w:rPr>
        <w:t>2</w:t>
      </w:r>
      <w:r>
        <w:rPr>
          <w:rFonts w:hint="eastAsia" w:ascii="仿宋" w:hAnsi="仿宋" w:eastAsia="仿宋" w:cs="仿宋"/>
          <w:b w:val="0"/>
          <w:sz w:val="24"/>
          <w:szCs w:val="24"/>
        </w:rPr>
        <w:t>个学分</w:t>
      </w:r>
      <w:r>
        <w:rPr>
          <w:rFonts w:hint="eastAsia" w:ascii="仿宋" w:hAnsi="仿宋" w:eastAsia="仿宋" w:cs="仿宋"/>
          <w:b w:val="0"/>
          <w:sz w:val="24"/>
          <w:szCs w:val="24"/>
          <w:lang w:eastAsia="zh-CN"/>
        </w:rPr>
        <w:t>。所有课程均有教学经验丰富，学术水平高的副教授以上职称的教师或博士主讲。</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四、学位学制</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lang w:val="en-US" w:eastAsia="zh-CN"/>
        </w:rPr>
      </w:pPr>
      <w:r>
        <w:rPr>
          <w:rFonts w:hint="eastAsia" w:ascii="仿宋" w:hAnsi="仿宋" w:eastAsia="仿宋" w:cs="仿宋"/>
          <w:b w:val="0"/>
          <w:sz w:val="24"/>
          <w:szCs w:val="24"/>
          <w:lang w:val="en-US" w:eastAsia="zh-CN"/>
        </w:rPr>
        <w:t>同等学力人员申请硕士学位分为三个阶段:课程学习培养阶段(简称第一阶段)、全国统一考试阶段(简称第二阶段)和撰写学位论文及答辩阶段(简称第三阶段)。</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lang w:val="en-US" w:eastAsia="zh-CN"/>
        </w:rPr>
      </w:pPr>
      <w:r>
        <w:rPr>
          <w:rFonts w:hint="eastAsia" w:ascii="仿宋" w:hAnsi="仿宋" w:eastAsia="仿宋" w:cs="仿宋"/>
          <w:b w:val="0"/>
          <w:sz w:val="24"/>
          <w:szCs w:val="24"/>
          <w:lang w:val="en-US" w:eastAsia="zh-CN"/>
        </w:rPr>
        <w:t>1、第一阶段(课程学习):申请人自通过资格审查之日起,按学校教学进度安排,修完江西财经大学同等学力规定的全部课程,按要求参加课程考试,成绩合格,可获待江西财经大学硏究生课程结业证书(为同等学力教育)。课程学习期一般为1年,每月集中双休日授课。</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lang w:val="en-US" w:eastAsia="zh-CN"/>
        </w:rPr>
      </w:pPr>
      <w:r>
        <w:rPr>
          <w:rFonts w:hint="eastAsia" w:ascii="仿宋" w:hAnsi="仿宋" w:eastAsia="仿宋" w:cs="仿宋"/>
          <w:b w:val="0"/>
          <w:sz w:val="24"/>
          <w:szCs w:val="24"/>
          <w:lang w:val="en-US" w:eastAsia="zh-CN"/>
        </w:rPr>
        <w:t>2、第二阶段(全国统一考试):获得学士学位满3年并修满学校规定的学分者,申请同等学力人员申请硕士学位外国语水平全国统一考试和学科专业综合考试。(每年一次)</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lang w:val="en-US" w:eastAsia="zh-CN"/>
        </w:rPr>
      </w:pPr>
      <w:r>
        <w:rPr>
          <w:rFonts w:hint="eastAsia" w:ascii="仿宋" w:hAnsi="仿宋" w:eastAsia="仿宋" w:cs="仿宋"/>
          <w:b w:val="0"/>
          <w:sz w:val="24"/>
          <w:szCs w:val="24"/>
          <w:lang w:val="en-US" w:eastAsia="zh-CN"/>
        </w:rPr>
        <w:t>3、第三阶段(论文写作答辩):全国统一组织的外国语水平考试及学科专业综合考试成绩合格者,并完成研究生课程学习者方可进入硕士学位论文写作阶段。</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lang w:val="en-US" w:eastAsia="zh-CN"/>
        </w:rPr>
      </w:pPr>
      <w:r>
        <w:rPr>
          <w:rFonts w:hint="eastAsia" w:ascii="仿宋" w:hAnsi="仿宋" w:eastAsia="仿宋" w:cs="仿宋"/>
          <w:b w:val="0"/>
          <w:sz w:val="24"/>
          <w:szCs w:val="24"/>
          <w:lang w:val="en-US" w:eastAsia="zh-CN"/>
        </w:rPr>
        <w:t xml:space="preserve"> 论文通过评审、答辩,经我校学位委员会批准,授予国务院学位委员会统一颁发的硕士学位证书。</w:t>
      </w:r>
      <w:r>
        <w:rPr>
          <w:rFonts w:hint="eastAsia" w:ascii="仿宋" w:hAnsi="仿宋" w:eastAsia="仿宋" w:cs="仿宋"/>
          <w:b/>
          <w:bCs/>
          <w:sz w:val="24"/>
          <w:szCs w:val="24"/>
          <w:lang w:val="en-US" w:eastAsia="zh-CN"/>
        </w:rPr>
        <w:t>学位论文及答辩阶段一般为1年，四年内未全部通过课程和全国统一考试者，所修课程学分无效。</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lang w:val="en-US" w:eastAsia="zh-CN"/>
        </w:rPr>
      </w:pPr>
      <w:r>
        <w:rPr>
          <w:rFonts w:hint="eastAsia" w:ascii="仿宋" w:hAnsi="仿宋" w:eastAsia="仿宋" w:cs="仿宋"/>
          <w:b w:val="0"/>
          <w:sz w:val="24"/>
          <w:szCs w:val="24"/>
          <w:lang w:val="en-US" w:eastAsia="zh-CN"/>
        </w:rPr>
        <w:t>注：申请人必须在完成规定学分并通过全国外语水平统考和学科专业综合考试后一年内向学校提出学位论文申请。全国统一组织的外国语水平考试和学科专业综合考试每年3月初报名,5月下旬考试。外语统考约4级水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五、缴纳学费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lang w:val="en-US" w:eastAsia="zh-CN"/>
        </w:rPr>
      </w:pPr>
      <w:r>
        <w:rPr>
          <w:rFonts w:hint="eastAsia" w:ascii="仿宋" w:hAnsi="仿宋" w:eastAsia="仿宋" w:cs="仿宋"/>
          <w:b w:val="0"/>
          <w:sz w:val="24"/>
          <w:szCs w:val="24"/>
          <w:lang w:val="en-US" w:eastAsia="zh-CN"/>
        </w:rPr>
        <w:t>根据我校下发的《江西财经大学同等学力人员申请硕士学位收入管理办法》的通知（江财财务字【2022】4号）文件精神，从即日起，学费缴纳分两段制进行，即课程学习阶段和撰写学位论文及答辩阶段。各项收费实际以学校相关规定为准。学生缴纳相关费用后，可获得学校财务处开具的电子缴费发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六、招名流程</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1、填写报名表。</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2、交最高学历或学位证书、身份证电子版及复印件各一份。</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3、交免冠蓝底近照</w:t>
      </w:r>
      <w:r>
        <w:rPr>
          <w:rFonts w:hint="eastAsia" w:ascii="仿宋" w:hAnsi="仿宋" w:eastAsia="仿宋" w:cs="仿宋"/>
          <w:sz w:val="24"/>
          <w:szCs w:val="24"/>
          <w:lang w:val="en-US" w:eastAsia="zh-CN"/>
        </w:rPr>
        <w:t>10</w:t>
      </w:r>
      <w:r>
        <w:rPr>
          <w:rFonts w:hint="eastAsia" w:ascii="仿宋" w:hAnsi="仿宋" w:eastAsia="仿宋" w:cs="仿宋"/>
          <w:sz w:val="24"/>
          <w:szCs w:val="24"/>
        </w:rPr>
        <w:t>张(其中</w:t>
      </w:r>
      <w:r>
        <w:rPr>
          <w:rFonts w:hint="eastAsia" w:ascii="仿宋" w:hAnsi="仿宋" w:eastAsia="仿宋" w:cs="仿宋"/>
          <w:sz w:val="24"/>
          <w:szCs w:val="24"/>
          <w:lang w:val="en-US" w:eastAsia="zh-CN"/>
        </w:rPr>
        <w:t>6</w:t>
      </w:r>
      <w:r>
        <w:rPr>
          <w:rFonts w:hint="eastAsia" w:ascii="仿宋" w:hAnsi="仿宋" w:eastAsia="仿宋" w:cs="仿宋"/>
          <w:sz w:val="24"/>
          <w:szCs w:val="24"/>
        </w:rPr>
        <w:t>张一寸、</w:t>
      </w:r>
      <w:r>
        <w:rPr>
          <w:rFonts w:hint="eastAsia" w:ascii="仿宋" w:hAnsi="仿宋" w:eastAsia="仿宋" w:cs="仿宋"/>
          <w:sz w:val="24"/>
          <w:szCs w:val="24"/>
          <w:lang w:val="en-US" w:eastAsia="zh-CN"/>
        </w:rPr>
        <w:t>4</w:t>
      </w:r>
      <w:r>
        <w:rPr>
          <w:rFonts w:hint="eastAsia" w:ascii="仿宋" w:hAnsi="仿宋" w:eastAsia="仿宋" w:cs="仿宋"/>
          <w:sz w:val="24"/>
          <w:szCs w:val="24"/>
        </w:rPr>
        <w:t>张二寸)及一寸蓝底免冠照片的电子版。</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4、经审核合格后,学员在规定时间内来报</w:t>
      </w:r>
      <w:bookmarkStart w:id="0" w:name="_GoBack"/>
      <w:bookmarkEnd w:id="0"/>
      <w:r>
        <w:rPr>
          <w:rFonts w:hint="eastAsia" w:ascii="仿宋" w:hAnsi="仿宋" w:eastAsia="仿宋" w:cs="仿宋"/>
          <w:sz w:val="24"/>
          <w:szCs w:val="24"/>
        </w:rPr>
        <w:t>名中心缴纳第一阶段费用并注册</w:t>
      </w:r>
      <w:r>
        <w:rPr>
          <w:rFonts w:hint="eastAsia" w:ascii="仿宋" w:hAnsi="仿宋" w:eastAsia="仿宋" w:cs="仿宋"/>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3998F"/>
    <w:multiLevelType w:val="singleLevel"/>
    <w:tmpl w:val="B153998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0NGMxNGU4MzAzODYxZmJiM2RhMTk1NmQ4ODFkMjIifQ=="/>
  </w:docVars>
  <w:rsids>
    <w:rsidRoot w:val="00000000"/>
    <w:rsid w:val="04AA65B4"/>
    <w:rsid w:val="18C43B3B"/>
    <w:rsid w:val="192951DE"/>
    <w:rsid w:val="1CA562B6"/>
    <w:rsid w:val="1E0B6FE4"/>
    <w:rsid w:val="211B3D72"/>
    <w:rsid w:val="22F043DD"/>
    <w:rsid w:val="23C41A11"/>
    <w:rsid w:val="272B26FB"/>
    <w:rsid w:val="27D5603A"/>
    <w:rsid w:val="28B97D4E"/>
    <w:rsid w:val="2BBD4681"/>
    <w:rsid w:val="3132516B"/>
    <w:rsid w:val="32995EB9"/>
    <w:rsid w:val="350C7FF1"/>
    <w:rsid w:val="366C3F37"/>
    <w:rsid w:val="381D3B74"/>
    <w:rsid w:val="4134309E"/>
    <w:rsid w:val="43C4145C"/>
    <w:rsid w:val="49B11926"/>
    <w:rsid w:val="52F64609"/>
    <w:rsid w:val="58817D38"/>
    <w:rsid w:val="58906498"/>
    <w:rsid w:val="5BA835E7"/>
    <w:rsid w:val="5EA5407F"/>
    <w:rsid w:val="5EAA1871"/>
    <w:rsid w:val="64E752FE"/>
    <w:rsid w:val="6783178A"/>
    <w:rsid w:val="704602AC"/>
    <w:rsid w:val="78B53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2213</Words>
  <Characters>2314</Characters>
  <Lines>0</Lines>
  <Paragraphs>0</Paragraphs>
  <TotalTime>6</TotalTime>
  <ScaleCrop>false</ScaleCrop>
  <LinksUpToDate>false</LinksUpToDate>
  <CharactersWithSpaces>2329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我是猪猪</cp:lastModifiedBy>
  <dcterms:modified xsi:type="dcterms:W3CDTF">2023-02-08T04:54:19Z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A93774384C7D46F29BC2DB00E1FB9DD6</vt:lpwstr>
  </property>
</Properties>
</file>